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Ancora Technologies v. Roku Federal Circuit Decision Analysis</w:t>
      </w:r>
    </w:p>
    <w:p>
      <w:r>
        <w:rPr>
          <w:b/>
        </w:rPr>
        <w:t>TO:</w:t>
        <w:tab/>
      </w:r>
      <w:r>
        <w:t>Partners</w:t>
      </w:r>
    </w:p>
    <w:p>
      <w:r>
        <w:rPr>
          <w:b/>
        </w:rPr>
        <w:t>FROM:</w:t>
        <w:tab/>
      </w:r>
      <w:r>
        <w:t>Senior Associate</w:t>
      </w:r>
    </w:p>
    <w:p>
      <w:r>
        <w:rPr>
          <w:b/>
        </w:rPr>
        <w:t>DATE:</w:t>
        <w:tab/>
      </w:r>
      <w:r>
        <w:t>June 2025</w:t>
      </w:r>
    </w:p>
    <w:p>
      <w:r>
        <w:rPr>
          <w:b/>
        </w:rPr>
        <w:t>RE:</w:t>
        <w:tab/>
      </w:r>
      <w:r>
        <w:t>Analysis of Ancora Technologies, Inc. v. Roku, Inc., 140 F.4th 1351 (Fed. Cir. 2025) - Secondary Considerations and Licensing Nexus in IPR Proceedings</w:t>
      </w:r>
    </w:p>
    <w:p>
      <w:r>
        <w:t>________________________________________________________________________________</w:t>
      </w:r>
    </w:p>
    <w:p>
      <w:pPr>
        <w:pStyle w:val="Heading2"/>
      </w:pPr>
      <w:r>
        <w:t>I. Case Overview and Procedural Posture</w:t>
      </w:r>
    </w:p>
    <w:p>
      <w:r>
        <w:rPr>
          <w:b w:val="0"/>
        </w:rPr>
        <w:t>On June 16, 2025, the United States Court of Appeals for the Federal Circuit issued its decision in Ancora Technologies, Inc. v. Roku, Inc., 140 F.4th 1351 (Fed. Cir. 2025), vacating and remanding two final written decisions of the Patent Trial and Appeal Board ('Board'). The consolidated appeals (Case Nos. 23-1674 and 23-1701) arose from inter partes review proceedings challenging claims 1-3, 6-14, and 16 of U.S. Patent No. 6,411,941 ('the '941 patent'). The per curiam opinion was issued by a panel consisting of Circuit Judges Lourie, Reyna, and Hughes.</w:t>
      </w:r>
    </w:p>
    <w:p>
      <w:r>
        <w:rPr>
          <w:b w:val="0"/>
        </w:rPr>
        <w:t>The appellant, Ancora Technologies, Inc. ('Ancora'), is the owner of the '941 patent, which relates to the restriction of unauthorized use of licensed software programs on computers. Specifically, the patent describes a method that uses non-volatile memory areas within a computer's Basic Input/Output System ('BIOS') to store verification structures that confirm whether software is properly licensed. The '941 patent aims to avoid reliance on volatile memory media subject to 'physical instabilities.' Claim 1, the independent claim from which all other challenged claims depend, recites a method comprising steps of selecting a program in volatile memory, using an 'agent' to set up a verification structure in erasable, non-volatile BIOS memory, verifying the program using that structure, and acting on the program according to the verification.</w:t>
      </w:r>
    </w:p>
    <w:p>
      <w:r>
        <w:rPr>
          <w:b w:val="0"/>
        </w:rPr>
        <w:t>The appellees are Roku, Inc., VIZIO, Inc., Nintendo Co., Ltd., and Nintendo of America Inc. In 2021, Nintendo and Roku filed separate petitions for inter partes review of the '941 patent. The Board issued two final written decisions in 2023—one on January 25, 2023 in IPR2021-01338 (the 'Nintendo Decision') and another on February 15, 2023 in IPR2021-01406 (the 'Roku Decision'). In both decisions, the Board determined that the challenged claims were unpatentable as obvious over a combination of two prior art references: U.S. Patent No. 4,658,093 ('Hellman') and U.S. Patent No. 5,892,906 ('Chou'), along with a third reference not at issue on appeal.</w:t>
      </w:r>
    </w:p>
    <w:p>
      <w:r>
        <w:rPr>
          <w:b w:val="0"/>
        </w:rPr>
        <w:t>The Federal Circuit exercised jurisdiction under 28 U.S.C. § 1295(a)(4)(A) and 35 U.S.C. § 141(c). The court applied its well-established standard of review, examining the Board's legal determinations de novo and its factual determinations for substantial evidence, citing In re NuVasive, Inc., 842 F.3d 1376, 1379 (Fed. Cir. 2016). Substantial evidence was defined as 'such relevant evidence as a reasonable mind might accept as adequate to support a conclusion,' quoting Consolidated Edison Co. v. NLRB, 305 U.S. 197, 229 (1938). The court noted that claim construction is a question of law with underlying questions of fact, citing Wasica Fin. GmbH v. Cont'l Auto. Sys., Inc., 853 F.3d 1272, 1278 (Fed. Cir. 2017).</w:t>
      </w:r>
    </w:p>
    <w:p>
      <w:r>
        <w:rPr>
          <w:b w:val="0"/>
        </w:rPr>
        <w:t>Steven M. Seigel of Susman Godfrey LLP argued for Ancora, with representation from Andres Healy and Alexandra Giselle White. Andrew Dufresne of Perkins Coie LLP argued for all appellees, with Kyle R. Canavera representing Nintendo and Richard Crudo of Sterne Kessler Goldstein &amp; Fox PLLC representing Roku and VIZIO.</w:t>
      </w:r>
    </w:p>
    <w:p>
      <w:pPr>
        <w:pStyle w:val="Heading2"/>
      </w:pPr>
      <w:r>
        <w:t>II. Claim Construction: The Term 'Agent'</w:t>
      </w:r>
    </w:p>
    <w:p>
      <w:r>
        <w:rPr>
          <w:b w:val="0"/>
        </w:rPr>
        <w:t>The first issue on appeal concerned the Board's construction of the claim term 'agent' in the 'agent' limitation of claim 1. The Board construed 'agent' as 'a software program or routine,' without further limitations to software-only use or operation at the operating system ('OS') level. Ancora argued that the proper construction should be 'a software program or routine' limited to use at the OS-level and excluding hardware (i.e., limited to use in software). The Federal Circuit affirmed the Board's construction.</w:t>
      </w:r>
    </w:p>
    <w:p>
      <w:r>
        <w:rPr>
          <w:b w:val="0"/>
        </w:rPr>
        <w:t>Regarding the software-only limitation, Ancora contended that intrinsic evidence required construing 'agent' as limited to software. The court disagreed, finding that neither the patent nor the prosecution history provided a 'clear and unmistakable disclaimer' that 'agent' must be limited to exclude hardware, citing Massachusetts Institute of Technology v. Shire Pharmaceuticals, Inc., 839 F.3d 1111, 1119 (Fed. Cir. 2016). The patent itself does not define 'agent.' While the specification discusses hardware-based products and their limitations—such as being 'expensive, inconvenient, and not particularly suitable for software that may be sold by downloading'—the court found these statements merely describe problems in both software- and hardware-based products without requiring that an 'agent' be software only.</w:t>
      </w:r>
    </w:p>
    <w:p>
      <w:r>
        <w:rPr>
          <w:b w:val="0"/>
        </w:rPr>
        <w:t>The court also rejected Ancora's reliance on prosecution history statements about hardware, finding that these statements similarly described problems without disclaiming hardware-based agents. The court then examined the extrinsic evidence supporting the Board's construction. The Board relied on Ancora's own acknowledgments that a prior district court decision held that 'the plain and ordinary meaning [of] "agent" is "a software program or routine"' without being limited to software only. The Board also cited the Oxford Dictionary of Computing's definition of 'agent,' which states that an agent 'may be software, hardware, or both.' Additionally, the Board relied on testimony from Ancora's expert that 'a mixed software/hardware entity does have a software component' and a declaration from another of Ancora's experts that 'agent' 'is not limited to a pure software implementation' and 'is generally understood in the art to encompass both software and hardware.' The Federal Circuit concluded that these sources—Ancora's acknowledgments, the dictionary definition, expert testimony, and expert declarations—constituted substantial evidence supporting the Board's finding.</w:t>
      </w:r>
    </w:p>
    <w:p>
      <w:r>
        <w:rPr>
          <w:b w:val="0"/>
        </w:rPr>
        <w:t>As for the OS-level limitation, Ancora argued that intrinsic evidence required construing 'agent' as limited to use at the OS-level. The court again found no 'clear and unmistakable disclaimer' to support this limitation. Ancora highlighted the examiner's statement in the Notice of Allowance that 'licensed programs' interacting with the verification structure are 'running at the OS level.' However, the court found this statement did not indicate that the agent, when setting up the verification structure, must also run at the OS-level. Ancora also pointed to its own prosecution remarks stating that 'Software license management applications, such as the one of the present invention, are operating system (OS) level programs.' The court explained that these software license management applications are not necessarily agents; rather, they are the applications whose licenses an agent has helped secure. The court emphasized that 'simply because an application runs at the OS-level does not mean that the agent also runs at the OS-level.'</w:t>
      </w:r>
    </w:p>
    <w:p>
      <w:r>
        <w:rPr>
          <w:b w:val="0"/>
        </w:rPr>
        <w:t>The court noted that the Board also cited extrinsic evidence supporting the construction that 'agent' is not limited to the OS-level, including the same prior district court decision acknowledging the plain and ordinary meaning. The Federal Circuit concluded that the Board correctly construed 'agent' as 'a software program or routine,' without limiting it to use at the OS-level or in software only.</w:t>
      </w:r>
    </w:p>
    <w:p>
      <w:pPr>
        <w:pStyle w:val="Heading2"/>
      </w:pPr>
      <w:r>
        <w:t>III. Prima Facie Obviousness: The Hellman/Chou Combination</w:t>
      </w:r>
    </w:p>
    <w:p>
      <w:r>
        <w:rPr>
          <w:b w:val="0"/>
        </w:rPr>
        <w:t>The Federal Circuit addressed three arguments Ancora raised challenging the Board's prima facie determination of obviousness based on a combination of the Hellman and Chou prior art references. The court ultimately agreed with what it characterized as 'in effect a prima facie determination of obviousness based on the Hellman/Chou combination.'</w:t>
      </w:r>
    </w:p>
    <w:p>
      <w:r>
        <w:rPr>
          <w:b w:val="0"/>
        </w:rPr>
        <w:t>Hellman discloses a method and apparatus for authorizing a 'base unit' to use a 'software package' a 'specific number of times.' The base unit includes a 'one-way hash function generator' that converts a signal representing a software package into a hash value H. This hash value H serves as an address to a 'non-volatile memory' unit, which stores a value M representing the number of available uses. An 'update unit' reads M from memory and, if M is greater than zero, sends a control signal to a 'switch' that activates a 'software player.' The update unit also signals the non-volatile memory to reduce M by one. If M is zero, the user is prevented from using the software. Critically, petitioners in both IPRs acknowledged that Hellman does not directly disclose the use of memory in a BIOS.</w:t>
      </w:r>
    </w:p>
    <w:p>
      <w:r>
        <w:rPr>
          <w:b w:val="0"/>
        </w:rPr>
        <w:t>Chou discloses an apparatus and method to discourage computer theft. Relevant to this appeal, Chou discloses a security routine stored in a BIOS that verifies a password entered by a user or a number read from an externally connected memory device. The combination of Hellman and Chou thus purportedly taught the 'agent' limitation by placing Hellman's licensing mechanism within Chou's BIOS environment.</w:t>
      </w:r>
    </w:p>
    <w:p>
      <w:r>
        <w:rPr>
          <w:b w:val="0"/>
        </w:rPr>
        <w:t>Ancora's first argument was that the Hellman/Chou combination was inoperable because it would use Hellman's non-volatile memory to store Chou's BIOS, creating the very risk the '941 patent sought to prevent: inadvertently changing data in the BIOS needed to operate the computer. However, the Federal Circuit found that Ancora never raised this argument in its response to either petition, and therefore waived it under Parus Holdings, Inc. v. Google LLC, 70 F.4th 1365, 1371-72 (Fed. Cir. 2023).</w:t>
      </w:r>
    </w:p>
    <w:p>
      <w:r>
        <w:rPr>
          <w:b w:val="0"/>
        </w:rPr>
        <w:t>Ancora's second argument was that a person of ordinary skill would not be motivated to combine Hellman and Chou because the combination was redundant—Hellman's computer already contained a BIOS. The Federal Circuit found that Ancora misread the Board's analysis. The Board determined that Chou's contribution was not merely adding a BIOS to Hellman's computer, but specifically motivating a person of ordinary skill 'to store Hellman's license information in the BIOS EEPROM, in order to discourage users from tampering with the license information and to provide extra protection to the sensitive information.' This finding was supported by expert testimony and therefore constituted substantial evidence.</w:t>
      </w:r>
    </w:p>
    <w:p>
      <w:r>
        <w:rPr>
          <w:b w:val="0"/>
        </w:rPr>
        <w:t>Ancora's third argument was that Hellman's memory address H is not a 'verification structure' and that Hellman's 'update unit' never sets up the address as required by the claimed 'agent.' The court again found that Ancora misread the Board's decision. The Board did not identify address H itself as the verification structure; rather, the Board credited testimony that the claimed verification structure corresponded to Hellman's method of storing M values at address H. This testimony provided substantial evidence supporting the Board's finding.</w:t>
      </w:r>
    </w:p>
    <w:p>
      <w:pPr>
        <w:pStyle w:val="Heading2"/>
      </w:pPr>
      <w:r>
        <w:t>IV. Secondary Considerations: Industry Praise</w:t>
      </w:r>
    </w:p>
    <w:p>
      <w:r>
        <w:rPr>
          <w:b w:val="0"/>
        </w:rPr>
        <w:t>The Board considered Ancora's evidence of industry praise, which consisted of a 'joint press release' from American Megatrends Inc. ('AMI') and Ancora that directly named the '941 patent, and an agreement under which AMI would offer products using the patent. The Board found that the praise in the press release and agreement was directed 'more broadly to the '941 patent itself,' not specifically to 'the challenged claims.' The press release and agreement addressed Ancora 'technology' defined broadly as the '941 patent and 'BIOS-based security products.'</w:t>
      </w:r>
    </w:p>
    <w:p>
      <w:r>
        <w:rPr>
          <w:b w:val="0"/>
        </w:rPr>
        <w:t>Ancora argued that the Board erred in finding no nexus between the AMI press release and agreement and the challenged claims, citing Apple Inc. v. Samsung Electronics Co., 839 F.3d 1034, 1053 (Fed. Cir. 2016). The Federal Circuit disagreed. The court found that the AMI press release and agreement were directed to commercialization plans for 'BIOS-based security products' and that 'the Board did not clearly err in finding that Ancora did not link up those products to the challenged claims.' The court further held that 'it was not error for the Board to require that the AMI press release and agreement have a nexus to the challenged claims as opposed to the patent as a whole.'</w:t>
      </w:r>
    </w:p>
    <w:p>
      <w:pPr>
        <w:pStyle w:val="Heading2"/>
      </w:pPr>
      <w:r>
        <w:t>V. Secondary Considerations: Licensing Nexus - The Critical Holding</w:t>
      </w:r>
    </w:p>
    <w:p>
      <w:r>
        <w:rPr>
          <w:b w:val="0"/>
        </w:rPr>
        <w:t>The most significant portion of the Federal Circuit's opinion concerns its analysis of the licensing evidence offered as objective indicia of nonobviousness. The Board found that Ancora failed to establish a sufficient nexus between the challenged claims and two licenses Ancora entered into with other parties during settlements in other cases. Specifically, the Board found that Ancora 'd[id] not establish whether these licenses resulted directly from the unique characteristics of the claimed subject matter of the '941 patent.' The Board also declined to consider a third license because Ancora failed to include it in its response, though it noted it would have treated it 'similarly' to the second license. The Federal Circuit held that the Board committed legal error in its nexus analysis.</w:t>
      </w:r>
    </w:p>
    <w:p>
      <w:r>
        <w:rPr>
          <w:b w:val="0"/>
        </w:rPr>
        <w:t>The court drew a critical distinction between licenses and products in the nexus analysis. The court explained that '[u]nlike products, which may incorporate numerous features beyond those claimed or described in a patent and therefore may require careful parsing to establish a nexus, actual licenses to the subject patent do not demand the same, as they are, by their nature, directly tied to the patented technology.' The court cited LaserDynamics, Inc. v. Quanta Computer, Inc., 694 F.3d 51, 79 (Fed. Cir. 2012), for the proposition that '[a]ctual licenses to the patented technology are highly probative . . . because such actual licenses most clearly reflect the economic value of the patented technology in the marketplace.'</w:t>
      </w:r>
    </w:p>
    <w:p>
      <w:r>
        <w:rPr>
          <w:b w:val="0"/>
        </w:rPr>
        <w:t>The court further held that '[l]icenses to the challenged patent then, unlike products or other forms of objective evidence of nonobviousness, do not require a nexus with respect to the specific claims at issue.' The court cited Institut Pasteur &amp; Universite Pierre Et Marie Curie v. Focarino, 738 F.3d 1337, 1347 (Fed. Cir. 2013), where the Federal Circuit reversed the Board's obviousness determination 'at least in part because "the Board too finely parsed [the patent owner's] licensing activities."' The court also referenced Impax Laboratories Inc. v. Lannett Holdings Inc., 893 F.3d 1372, 1381 (Fed. Cir. 2018), where the court affirmed a finding that a portion of a $130 million agreement was based on expected profits from specific patents despite the agreement covering various formulation patents.</w:t>
      </w:r>
    </w:p>
    <w:p>
      <w:r>
        <w:rPr>
          <w:b w:val="0"/>
        </w:rPr>
        <w:t>The Federal Circuit found that the Board 'too finely parsed the patent owner's licensing activities' in this case as well. Regarding the first license, the '941 patent was the only patent identified by patent number in the license agreement. The Board reasoned that because 'large portions of the license are redacted,' including all of Exhibit B, 'it is impossible for [the Board] to discern what was licensed and on what terms precisely.' The Federal Circuit found this 'too strict a requirement,' noting that the '941 patent was clearly the subject of the license as the agreement granted a license under 'Ancora Patents' defined to recite only the '941 patent by patent number. The court also found the same analysis applied to the second and third licenses, which also specifically identified the '941 patent by U.S. patent number on their faces.</w:t>
      </w:r>
    </w:p>
    <w:p>
      <w:r>
        <w:rPr>
          <w:b w:val="0"/>
        </w:rPr>
        <w:t>Critically, the court found that the Board misread the first license. The Board stated that 'Exhibit B . . . lists what patents and patent applications were licensed.' The Federal Circuit corrected this, explaining that 'Exhibit B therefore contains patents that are not licensed under this agreement, contrary to the Board's statement.' Rather, the license explained that it licensed the '941 patent and other Ancora-controlled patents, while the 'Jobaline Patents . . . listed in Exhibit B' were 'not considered Ancora patents under this Agreement.' The court held that the Board's misreading 'cannot serve as substantial evidence supporting its finding that there was no way to determine what was licensed.'</w:t>
      </w:r>
    </w:p>
    <w:p>
      <w:r>
        <w:rPr>
          <w:b w:val="0"/>
        </w:rPr>
        <w:t>The court emphasized that the settlements resulting in the licenses were reached after four years of litigation, within a month of trial, and one day before trial. The license payments 'far exceeded the cost of litigation,' and the defendants were 'fully aware of the relevant prior art.' The court stated that '[c]lear evidence that substantial license fees were paid for licenses to a specific patent late in litigation should be given the significance that their magnitude deserves.' The court also noted that licensing the '941 patent 'necessarily conveys a right to all of the challenged claims, including claim 1, whose limitations are incorporated into every claim of the patent.'</w:t>
      </w:r>
    </w:p>
    <w:p>
      <w:r>
        <w:rPr>
          <w:b w:val="0"/>
        </w:rPr>
        <w:t>The court also addressed the Board's confusion between damages and license payments as a comparator. The Board had stated it was 'difficult to assess whether the license[s] represented a business decision based on magnitude of the potential risk or an acquiescence to the strength of the '941 patent.' The court responded that it '[f]ail[ed] to see the difference' because '[t]hey amount to the same thing, a considered reluctance to run the risk of larger financial consequences from infringement.' Regarding the Board's request for information about 'what the potential exposure was,' the court stated that 'that confuses damages for litigation costs as the appropriate comparator for evaluating the significance of the magnitude of licensing payments,' citing 35 U.S.C. § 284. The court explained that 'damages figures are a function of an infringer's usage, not a patent's strength.'</w:t>
      </w:r>
    </w:p>
    <w:p>
      <w:r>
        <w:rPr>
          <w:b w:val="0"/>
        </w:rPr>
        <w:t>The court also addressed low-value licenses, noting that the Board cited but did not evaluate petitioners' arguments about Ancora's settlements with other companies for much less than anticipated litigation costs. The court discussed Iron Grip Barbell Co. v. USA Sports, Inc., 392 F.3d 1317, 1324 (Fed. Cir. 2004), clarifying that the panel 'declined to credit low-value licenses not because of their value, but because of the failure of the patentee to provide adequate evidence that the licenses had a nexus to the patents at issue.' On remand, the Board is instructed to 'evaluate the nexus issue regarding these licenses and then weigh such evidence against what was in effect its prima facie case of obviousness' and to 'also consider the nexus issue and the probative value of these licenses and weigh that against the licenses produced by Ancora in support of its argument of commercial success as objective indicia of nonobviousness.'</w:t>
      </w:r>
    </w:p>
    <w:p>
      <w:pPr>
        <w:pStyle w:val="Heading2"/>
      </w:pPr>
      <w:r>
        <w:t>VI. Practical Implications and Guidance for Practitioners</w:t>
      </w:r>
    </w:p>
    <w:p>
      <w:r>
        <w:rPr>
          <w:b w:val="0"/>
        </w:rPr>
        <w:t>The Federal Circuit's decision in Ancora Technologies v. Roku has significant implications for patent owners and practitioners involved in IPR proceedings and patent litigation where objective indicia of nonobviousness are at issue. The decision establishes a clear framework for evaluating licensing evidence that is more favorable to patent owners than the standard the Board had been applying.</w:t>
      </w:r>
    </w:p>
    <w:p>
      <w:r>
        <w:rPr>
          <w:b w:val="0"/>
        </w:rPr>
        <w:t>First, the decision establishes that licenses to the challenged patent occupy a privileged position in the nexus analysis. Unlike products, which may embody numerous features beyond the claimed invention, actual licenses to the patent are 'by their nature, directly tied to the patented technology.' This means that patent owners need not engage in the same level of claim-by-claim parsing that may be required for product-based evidence. Practitioners should emphasize this distinction when presenting licensing evidence to the Board.</w:t>
      </w:r>
    </w:p>
    <w:p>
      <w:r>
        <w:rPr>
          <w:b w:val="0"/>
        </w:rPr>
        <w:t>Second, the timing and magnitude of license payments matter. The court emphasized that licenses entered into 'late in litigation' with payments that 'far exceeded the cost of litigation' deserve significant weight. Practitioners should present evidence of the litigation context surrounding licenses, including how close to trial the licenses were executed and how the payments compared to litigation costs. However, practitioners should not conflate license payments with damages estimates, as the court held that damages figures reflect an infringer's usage, not patent strength.</w:t>
      </w:r>
    </w:p>
    <w:p>
      <w:r>
        <w:rPr>
          <w:b w:val="0"/>
        </w:rPr>
        <w:t>Third, the decision provides important guidance on the level of detail required to establish nexus for licenses. The Board had demanded detailed evidence of what was licensed and on what precise terms, even when the license agreement identified the patent by number. The Federal Circuit held this was 'too strict a requirement.' When the challenged patent is specifically identified in a license agreement, practitioners should argue that this identification is sufficient to establish the required nexus, even if other portions of the agreement are redacted or contain references to other patents.</w:t>
      </w:r>
    </w:p>
    <w:p>
      <w:r>
        <w:rPr>
          <w:b w:val="0"/>
        </w:rPr>
        <w:t>Fourth, the decision addresses both high-value and low-value licenses. While the court was primarily focused on the substantial licenses at issue, it also instructed the Board on remand to consider low-value licenses and their probative value. Citing Iron Grip Barbell, the court clarified that low-value licenses are not inherently insignificant; rather, they require adequate evidence of nexus. This suggests that patent owners should present all available licenses, including those with lower payments, as long as they can establish a connection to the challenged patent.</w:t>
      </w:r>
    </w:p>
    <w:p>
      <w:r>
        <w:rPr>
          <w:b w:val="0"/>
        </w:rPr>
        <w:t>Finally, the decision preserves the requirement that industry praise and other non-license indicia must have a nexus to the challenged claims specifically, not merely to the patent as a whole. The court affirmed the Board's finding that the AMI press release and agreement did not demonstrate nexus to the challenged claims because they were directed to 'BIOS-based security products' generally. Practitioners presenting industry praise evidence should ensure that such evidence is specifically linked to the claimed features and limitations, not merely to the patented technology in broad terms.</w:t>
      </w:r>
    </w:p>
    <w:p/>
    <w:p>
      <w:r>
        <w:t>Senior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