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NVIDIA Corporation (NVDA) - Investment Memo</w:t>
      </w:r>
    </w:p>
    <w:p>
      <w:r>
        <w:rPr>
          <w:b/>
        </w:rPr>
        <w:t>TO:</w:t>
        <w:tab/>
      </w:r>
      <w:r>
        <w:t>Head of Technology Coverage</w:t>
      </w:r>
    </w:p>
    <w:p>
      <w:r>
        <w:rPr>
          <w:b/>
        </w:rPr>
        <w:t>FROM:</w:t>
        <w:tab/>
      </w:r>
      <w:r>
        <w:t>Senior Equity Research Analyst</w:t>
      </w:r>
    </w:p>
    <w:p>
      <w:r>
        <w:rPr>
          <w:b/>
        </w:rPr>
        <w:t>DATE:</w:t>
        <w:tab/>
      </w:r>
      <w:r>
        <w:t>May 2026</w:t>
      </w:r>
    </w:p>
    <w:p>
      <w:r>
        <w:rPr>
          <w:b/>
        </w:rPr>
        <w:t>RE:</w:t>
        <w:tab/>
      </w:r>
      <w:r>
        <w:t>NVIDIA Corporation (NVDA) Investment Memo - Client Presentation Support</w:t>
      </w:r>
    </w:p>
    <w:p>
      <w:r>
        <w:t>________________________________________________________________________________</w:t>
      </w:r>
    </w:p>
    <w:p>
      <w:pPr>
        <w:pStyle w:val="Heading1"/>
      </w:pPr>
      <w:r>
        <w:t>Executive Summary</w:t>
      </w:r>
    </w:p>
    <w:p>
      <w:r>
        <w:rPr>
          <w:b w:val="0"/>
        </w:rPr>
        <w:t>This memorandum presents our investment analysis of NVIDIA Corporation (NASDAQ: NVDA), a leading semiconductor company whose fiscal year ends in late January. The analysis supports our recommendation to initiate an overweight position for the client's portfolio, based on NVIDIA's exceptional financial performance, dominant market position in accelerated computing, and continued growth trajectory in artificial intelligence infrastructure spending.</w:t>
      </w:r>
    </w:p>
    <w:p>
      <w:r>
        <w:rPr>
          <w:b w:val="0"/>
        </w:rPr>
        <w:t>NVIDIA reported full fiscal year 2026 (ending January 25, 2026) revenues of $215.938 billion, representing a dramatic increase from $130.497 billion in FY2025. Net income for FY2026 reached $120.067 billion, compared to $72.880 billion in the prior year. The company's operating income expanded to $130.387 billion in FY2026 from $81.453 billion in FY2025, demonstrating exceptional operating leverage as the business scales.</w:t>
      </w:r>
    </w:p>
    <w:p>
      <w:r>
        <w:rPr>
          <w:b w:val="0"/>
        </w:rPr>
        <w:t>Diluted earnings per share grew to $4.90 in FY2026 from $2.94 in FY2025, reflecting a 66.7% increase that significantly outpaced broader market indices. The company's gross margins expanded meaningfully, with gross profit reaching $153.463 billion on $215.938 billion in revenues, implying a gross margin of approximately 71.0%, up from 75.0% in FY2025 ($97.858B / $130.497B).</w:t>
      </w:r>
    </w:p>
    <w:p>
      <w:r>
        <w:rPr>
          <w:b w:val="0"/>
        </w:rPr>
        <w:t>The balance sheet remained robust with total assets of $206.803 billion at FY2026 year-end, supported by stockholders' equity of $157.293 billion. The company maintained a conservative capital structure with total liabilities of $49.510 billion, resulting in a debt-to-equity ratio of approximately 0.31x. Cash and cash equivalents stood at $10.605 billion at fiscal year end.</w:t>
      </w:r>
    </w:p>
    <w:p>
      <w:r>
        <w:rPr>
          <w:b w:val="0"/>
        </w:rPr>
        <w:t>Our recommendation to overweight NVIDIA is predicated on the company's unmatched positioning in the AI accelerator market, demonstrated ability to convert revenue growth into outsized profitability, and a balance sheet that provides significant financial flexibility for continued R&amp;D investment and strategic initiatives. We note that the quarterly trajectory within FY2026 shows continued sequential growth, with Q3 FY2026 quarterly revenue of $57.006 billion exceeding both Q1 ($44.062B) and Q2 ($46.743B).</w:t>
      </w:r>
    </w:p>
    <w:p>
      <w:pPr>
        <w:pStyle w:val="Heading1"/>
      </w:pPr>
      <w:r>
        <w:t>Revenue Analysis</w:t>
      </w:r>
    </w:p>
    <w:p>
      <w:r>
        <w:rPr>
          <w:b w:val="0"/>
        </w:rPr>
        <w:t>NVIDIA's revenue trajectory over the past six fiscal years tells a story of dramatic transformation, transitioning from a gaming-focused GPU company to the dominant supplier of artificial intelligence compute infrastructure. Fiscal year 2020 revenues stood at $10.918 billion, growing to $16.675 billion in FY2021 (52.7% YoY growth), and $26.914 billion in FY2022 (61.4% YoY growth). While we lack complete annual data for FY2023 and FY2024 in the provided dataset, the acceleration to $130.497 billion in FY2025 represents an extraordinary growth inflection, likely driven by surging demand for NVIDIA's data center GPUs used in large language model training and inference.</w:t>
      </w:r>
    </w:p>
    <w:p>
      <w:r>
        <w:rPr>
          <w:b w:val="0"/>
        </w:rPr>
        <w:t>The revenue growth from FY2025 to FY2026 was 65.5%, calculated as ($215.938B - $130.497B) / $130.497B. This continued double-digit growth at NVIDIA's current revenue scale is exceptional among large-cap semiconductor peers. To contextualize, NVIDIA's FY2026 revenues of $215.938 billion are nearly 20 times larger than its FY2020 revenues of $10.918 billion, reflecting a six-year revenue CAGR of approximately 64%.</w:t>
      </w:r>
    </w:p>
    <w:p>
      <w:r>
        <w:rPr>
          <w:b w:val="0"/>
        </w:rPr>
        <w:t>Examining quarterly trends within FY2026 reveals a pattern of sequential revenue acceleration. Q1 FY2026 (January 27 to April 27, 2025) generated revenues of $44.062 billion. Q2 FY2026 (April 28 to July 27, 2025) increased to $46.743 billion, representing 6.1% sequential growth. Q3 FY2026 (July 28 to October 26, 2025) further accelerated to $57.006 billion, a robust 22.0% sequential increase from Q2. This Q3 acceleration is particularly noteworthy and suggests continued strong demand momentum entering the back half of the fiscal year.</w:t>
      </w:r>
    </w:p>
    <w:p>
      <w:r>
        <w:rPr>
          <w:b w:val="0"/>
        </w:rPr>
        <w:t>The cumulative year-to-date revenue through Q3 FY2026 was $147.811 billion (from the YTD data spanning January 27 to October 26, 2025). Subtracting Q1 and Q2 revenues, we can verify Q3 standalone revenue as $147.811B - $90.805B = $57.006B, which is consistent with the reported Q3 quarterly figure. The implied Q4 revenue needed to reach the full-year FY2026 total of $215.938B would be approximately $68.127 billion, representing another sequential increase of approximately 19.5% from Q3.</w:t>
      </w:r>
    </w:p>
    <w:p>
      <w:r>
        <w:rPr>
          <w:b w:val="0"/>
        </w:rPr>
        <w:t>A critical observation for investors is the composition of this growth. While specific segment data is not provided in this dataset, NVIDIA's growth has been driven primarily by its Data Center segment, which has benefited from hyperscaler capital expenditure cycles and the buildout of AI training and inference infrastructure. The revenue trajectory suggests NVIDIA is capturing a disproportionate share of incremental AI infrastructure spending, though this concentration also introduces cyclical risk as customer capex budgets are inherently variable.</w:t>
      </w:r>
    </w:p>
    <w:p>
      <w:pPr>
        <w:pStyle w:val="Heading1"/>
      </w:pPr>
      <w:r>
        <w:t>Profitability and Margin Analysis</w:t>
      </w:r>
    </w:p>
    <w:p>
      <w:r>
        <w:rPr>
          <w:b w:val="0"/>
        </w:rPr>
        <w:t>NVIDIA's profitability profile is among the most impressive in the semiconductor industry, characterized by expanding margins and exceptional operating leverage. For FY2026, the company reported gross profit of $153.463 billion on revenues of $215.938 billion, yielding a gross margin of 71.0%. This compares to FY2025 gross profit of $97.858 billion on revenues of $130.497 billion, which represented a gross margin of 75.0%. The slight compression in gross margin rate despite massive revenue growth reflects changes in product mix and potentially increased manufacturing costs, though the absolute gross profit dollar expansion of $55.605 billion (56.8% growth) is remarkable.</w:t>
      </w:r>
    </w:p>
    <w:p>
      <w:r>
        <w:rPr>
          <w:b w:val="0"/>
        </w:rPr>
        <w:t>Operating margins demonstrated significant improvement. FY2026 operating income of $130.387 billion on revenues of $215.938 billion implies an operating margin of 60.4%, compared to FY2025 operating income of $81.453 billion on $130.497 billion in revenues, representing a 62.4% operating margin. The modest operating margin compression of approximately 200 basis points is attributable to increased R&amp;D spending, which grew to $18.497 billion in FY2026 from $12.914 billion in FY2025, an increase of 43.2%. This R&amp;D investment as a percentage of revenue was 8.6% in FY2026 versus 9.9% in FY2025, demonstrating operating leverage in research spending.</w:t>
      </w:r>
    </w:p>
    <w:p>
      <w:r>
        <w:rPr>
          <w:b w:val="0"/>
        </w:rPr>
        <w:t>SG&amp;A expenses were well-controlled, rising to $4.579 billion in FY2026 from $3.491 billion in FY2025, an increase of 31.2% versus the 65.5% revenue growth. SG&amp;A as a percentage of revenue declined from 2.7% in FY2025 to 2.1% in FY2026, further demonstrating operating leverage in the business model. Total operating expenses (R&amp;D plus SG&amp;A) were $23.076 billion in FY2026 versus $16.405 billion in FY2025.</w:t>
      </w:r>
    </w:p>
    <w:p>
      <w:r>
        <w:rPr>
          <w:b w:val="0"/>
        </w:rPr>
        <w:t>Net margins remained exceptionally strong. FY2026 net income of $120.067 billion on revenues of $215.938 billion represents a net margin of 55.6%. This compares to FY2025 net income of $72.880 billion on $130.497 billion in revenues, a net margin of 55.9%. The near-stable net margin despite slight gross margin compression reflects the benefit of operating leverage in the expense structure offsetting the gross margin headwind.</w:t>
      </w:r>
    </w:p>
    <w:p>
      <w:r>
        <w:rPr>
          <w:b w:val="0"/>
        </w:rPr>
        <w:t>The operating leverage in NVIDIA's business model is demonstrated by the ratio of operating income growth to revenue growth. Operating income grew 60.1% from $81.453B to $130.387B, while revenue grew 65.5%. The operating leverage factor was approximately 0.92x, indicating that operating income grew nearly proportionally with revenue. However, examining the quarterly progression within FY2026 reveals improving trends: Q1 operating income was $21.638B, Q2 was $28.440B (31.4% sequential growth), and Q3 was $36.010B (26.6% sequential growth). The Q3 operating margin of 63.2% ($36.010B / $57.006B) exceeded the Q1 operating margin of 49.1% ($21.638B / $44.062B), suggesting improving profitability through the fiscal year.</w:t>
      </w:r>
    </w:p>
    <w:p>
      <w:pPr>
        <w:pStyle w:val="Heading1"/>
      </w:pPr>
      <w:r>
        <w:t>Balance Sheet and Capital Efficiency</w:t>
      </w:r>
    </w:p>
    <w:p>
      <w:r>
        <w:rPr>
          <w:b w:val="0"/>
        </w:rPr>
        <w:t>NVIDIA's balance sheet expanded significantly during FY2026, reflecting the company's strong cash generation and growing scale of operations. Total assets grew from $111.601 billion at FY2025 year-end to $206.803 billion at FY2026 year-end, an increase of 85.3%. This substantial asset growth was driven by the accumulation of operating assets necessary to support the company's rapidly scaling revenue base.</w:t>
      </w:r>
    </w:p>
    <w:p>
      <w:r>
        <w:rPr>
          <w:b w:val="0"/>
        </w:rPr>
        <w:t>On the liability side, total liabilities increased from $32.274 billion at FY2025 to $49.510 billion at FY2026, a 53.4% increase that was more moderate than asset growth. Stockholders' equity expanded from $79.327 billion to $157.293 billion, nearly doubling with a 98.3% increase. The faster growth in equity relative to liabilities reflects the company's strong earnings retention and limited incremental borrowing needs.</w:t>
      </w:r>
    </w:p>
    <w:p>
      <w:r>
        <w:rPr>
          <w:b w:val="0"/>
        </w:rPr>
        <w:t>The debt-to-equity ratio improved from 0.41x at FY2025 ($32.274B / $79.327B) to 0.31x at FY2026 ($49.510B / $157.293B), indicating a strengthening capital structure. This low leverage provides significant financial flexibility for continued investment in R&amp;D, potential strategic acquisitions, and resilience against cyclical downturns in semiconductor demand.</w:t>
      </w:r>
    </w:p>
    <w:p>
      <w:r>
        <w:rPr>
          <w:b w:val="0"/>
        </w:rPr>
        <w:t>Cash and cash equivalents totaled $10.605 billion at FY2026 year-end, compared to $8.589 billion at FY2025 year-end, representing a 23.5% increase. The relatively modest cash increase relative to net income of $120.067 billion suggests significant capital deployment through share repurchases, dividends, capital expenditures, or other investments during the year. The quarterly cash trend showed volatility, peaking at $15.234 billion at Q1 FY2026 before declining to $11.639 billion at Q2 and $11.486 billion at Q3, indicating active capital allocation.</w:t>
      </w:r>
    </w:p>
    <w:p>
      <w:r>
        <w:rPr>
          <w:b w:val="0"/>
        </w:rPr>
        <w:t>Return on equity for FY2026 can be estimated at approximately 95.6% using net income of $120.067 billion divided by average stockholders' equity of approximately $118.310 billion (average of FY2025 equity of $79.327B and FY2026 equity of $157.293B). This extraordinarily high ROE reflects both the company's exceptional profitability and its relatively efficient capital structure. For context, ROE was approximately 118.4% in FY2025 using the same methodology with FY2024 equity data not available, but the FY2026 figure remains industry-leading among large-cap technology companies.</w:t>
      </w:r>
    </w:p>
    <w:p>
      <w:pPr>
        <w:pStyle w:val="Heading1"/>
      </w:pPr>
      <w:r>
        <w:t>Earnings Per Share Analysis</w:t>
      </w:r>
    </w:p>
    <w:p>
      <w:r>
        <w:rPr>
          <w:b w:val="0"/>
        </w:rPr>
        <w:t>NVIDIA's diluted earnings per share (EPS) grew from $2.94 in FY2025 to $4.90 in FY2026, representing year-over-year growth of 66.7%. This EPS growth rate modestly exceeded the 65.5% revenue growth rate, indicating slight accretion from the company's share repurchase program or other capital return activities reducing the diluted share count.</w:t>
      </w:r>
    </w:p>
    <w:p>
      <w:r>
        <w:rPr>
          <w:b w:val="0"/>
        </w:rPr>
        <w:t>The quarterly EPS progression within FY2026 demonstrates accelerating profitability. Q1 FY2026 diluted EPS was $0.76, followed by Q2 at $1.08 (42.1% sequential increase), and Q3 at $1.30 (20.4% sequential increase). The cumulative three-quarter diluted EPS through Q3 FY2026 was $3.14, leaving approximately $1.76 needed in Q4 to reach the full-year figure of $4.90. This implied Q4 EPS would represent a 35.4% increase from Q3, suggesting continued earnings acceleration.</w:t>
      </w:r>
    </w:p>
    <w:p>
      <w:r>
        <w:rPr>
          <w:b w:val="0"/>
        </w:rPr>
        <w:t>The EPS trajectory is particularly noteworthy when considered alongside NVIDIA's active share repurchase program. Despite significant buyback activity (implied by the cash flow patterns observed in the balance sheet), the company still delivered EPS growth that exceeded revenue growth, demonstrating the powerful combination of revenue expansion, margin stability, and capital return.</w:t>
      </w:r>
    </w:p>
    <w:p>
      <w:r>
        <w:rPr>
          <w:b w:val="0"/>
        </w:rPr>
        <w:t>For the client's valuation analysis, the FY2026 diluted EPS of $4.90 provides a meaningful basis for forward earnings estimates. If the company maintains its current growth trajectory into FY2027, with continued AI infrastructure spending tailwinds, analysts should model EPS growth in the range of 20-40% for the next fiscal year, depending on assumptions about revenue growth normalization and margin sustainability. The Q3 FY2026 quarterly EPS of $1.30 annualizes to approximately $5.20, providing a run-rate baseline that could support higher full-year estimates if Q4 momentum continues.</w:t>
      </w:r>
    </w:p>
    <w:p>
      <w:pPr>
        <w:pStyle w:val="Heading1"/>
      </w:pPr>
      <w:r>
        <w:t>Risk Factors and Key Considerations</w:t>
      </w:r>
    </w:p>
    <w:p>
      <w:r>
        <w:rPr>
          <w:b w:val="0"/>
        </w:rPr>
        <w:t>While NVIDIA's financial performance has been exceptional, several material risks warrant careful consideration by the client. First, the extraordinary revenue growth rates NVIDIA has experienced are inherently difficult to sustain at scale. The company's FY2026 revenues of $215.938 billion represent a level that makes continued 65%+ annual growth increasingly challenging. As AI infrastructure buildout matures and the installed base grows, revenue growth is likely to normalize toward more sustainable levels, potentially in the 15-30% range, which would represent a significant deceleration from recent performance.</w:t>
      </w:r>
    </w:p>
    <w:p>
      <w:r>
        <w:rPr>
          <w:b w:val="0"/>
        </w:rPr>
        <w:t>Second, customer concentration risk is a meaningful concern. While segment-level customer data is not provided in this dataset, NVIDIA's data center business is known to be heavily concentrated among a small number of hyperscale cloud providers (Amazon Web Services, Microsoft Azure, Google Cloud, Meta Platforms). Any reduction in capital expenditure budgets by these key customers could materially impact NVIDIA's revenue trajectory. The sequential revenue pattern within FY2026, while generally positive, shows that growth is not guaranteed, and any customer spending pause could create significant quarter-to-quarter volatility.</w:t>
      </w:r>
    </w:p>
    <w:p>
      <w:r>
        <w:rPr>
          <w:b w:val="0"/>
        </w:rPr>
        <w:t>Third, the sustainability of NVIDIA's premium margins warrants monitoring. While gross margins remained above 70% in FY2026, the slight compression from FY2025's 75.0% to FY2026's 71.0% may signal early competitive pressure or product mix shifts. As competitors including AMD, Intel, and custom silicon programs from hyperscalers (Google TPU, Amazon Trainium) mature, NVIDIA may face pricing pressure that further compresses margins. The R&amp;D increase to $18.497 billion in FY2026 (up 43.2% YoY) suggests the company is investing heavily to maintain its competitive moat, but the return on this investment is not guaranteed.</w:t>
      </w:r>
    </w:p>
    <w:p>
      <w:r>
        <w:rPr>
          <w:b w:val="0"/>
        </w:rPr>
        <w:t>Fourth, geopolitical risks related to US-China technology restrictions could impact NVIDIA's addressable market. While not directly quantifiable from the financial data provided, export controls on advanced AI chips to China represent a known headwind that could limit revenue potential in a significant end market. Investors should monitor regulatory developments and their impact on NVIDIA's revenue mix.</w:t>
      </w:r>
    </w:p>
    <w:p>
      <w:r>
        <w:rPr>
          <w:b w:val="0"/>
        </w:rPr>
        <w:t>Finally, the company's cash position showed some volatility during FY2026, declining from $15.234 billion at Q1 to $10.605 billion at year-end. While this likely reflects strategic capital deployment rather than operational stress, the pattern warrants understanding to ensure the company maintains adequate liquidity for its growth investments. The balance sheet remains strong with a 0.31x debt-to-equity ratio, but monitoring cash generation relative to capital allocation will be important for assessing long-term shareholder value creation.</w:t>
      </w:r>
    </w:p>
    <w:p/>
    <w:p>
      <w:r>
        <w:t>Prepared by Senior Equity Research Analyst, Technology Coverage 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