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Credit Memo - Exxon Mobil Corporation</w:t>
      </w:r>
    </w:p>
    <w:p>
      <w:r>
        <w:rPr>
          <w:b/>
        </w:rPr>
        <w:t>TO:</w:t>
        <w:tab/>
      </w:r>
      <w:r>
        <w:t>Credit Committee</w:t>
      </w:r>
    </w:p>
    <w:p>
      <w:r>
        <w:rPr>
          <w:b/>
        </w:rPr>
        <w:t>FROM:</w:t>
        <w:tab/>
      </w:r>
      <w:r>
        <w:t>Energy &amp; Natural Resources Lending Group</w:t>
      </w:r>
    </w:p>
    <w:p>
      <w:r>
        <w:rPr>
          <w:b/>
        </w:rPr>
        <w:t>DATE:</w:t>
        <w:tab/>
      </w:r>
      <w:r>
        <w:t>May 2026</w:t>
      </w:r>
    </w:p>
    <w:p>
      <w:r>
        <w:rPr>
          <w:b/>
        </w:rPr>
        <w:t>RE:</w:t>
        <w:tab/>
      </w:r>
      <w:r>
        <w:t>XOM Revolving Credit Facility Renewal - Credit Assessment</w:t>
      </w:r>
    </w:p>
    <w:p>
      <w:r>
        <w:t>________________________________________________________________________________</w:t>
      </w:r>
    </w:p>
    <w:p>
      <w:pPr>
        <w:pStyle w:val="Heading1"/>
      </w:pPr>
      <w:r>
        <w:t>Executive Summary</w:t>
      </w:r>
    </w:p>
    <w:p>
      <w:r>
        <w:rPr>
          <w:b w:val="0"/>
        </w:rPr>
        <w:t>This memo presents the credit assessment of Exxon Mobil Corporation (ticker: XOM) for the renewal of its $15 billion revolving credit facility. Exxon Mobil is one of the largest publicly traded integrated energy companies globally, classified in the energy sector. The company reported Q1 2026 revenues of $85.1 billion and total assets of $464.4 billion, demonstrating the massive scale of its operations.</w:t>
      </w:r>
    </w:p>
    <w:p>
      <w:r>
        <w:rPr>
          <w:b w:val="0"/>
        </w:rPr>
        <w:t>Based on our analysis of the company's financial performance through Q1 2026, Exxon Mobil maintains a strong credit profile supported by its substantial asset base and diversified revenue streams. However, the declining cash position from $23.0 billion at FY 2024 to $8.4 billion at Q1 2026 and the significant increase in liabilities in Q1 2026 warrant careful monitoring. We recommend approval of the facility renewal with enhanced covenant protections focused on leverage and liquidity metrics.</w:t>
      </w:r>
    </w:p>
    <w:p>
      <w:pPr>
        <w:pStyle w:val="Heading2"/>
      </w:pPr>
      <w:r>
        <w:t>Borrower Profile</w:t>
      </w:r>
    </w:p>
    <w:p>
      <w:r>
        <w:rPr>
          <w:b w:val="0"/>
        </w:rPr>
        <w:t>Exxon Mobil Corporation is an integrated energy company operating in the energy sector. The company is among the largest publicly traded oil and gas companies in the world by market capitalization and revenue. With total assets of $464.4 billion as of Q1 2026 and annual revenues exceeding $332 billion in FY 2025, Exxon Mobil represents a systemically significant borrower in the energy lending portfolio.</w:t>
      </w:r>
    </w:p>
    <w:p>
      <w:r>
        <w:rPr>
          <w:b w:val="0"/>
        </w:rPr>
        <w:t>The company's business spans the full hydrocarbon value chain, including upstream exploration and production, downstream refining and marketing, and chemical manufacturing. Exxon Mobil's revenue base of $85.1 billion in Q1 2026 reflects the ongoing scale of its global operations, though quarterly revenues have shown some volatility ranging from approximately $81.5 billion to $85.3 billion across recent quarters.</w:t>
      </w:r>
    </w:p>
    <w:p>
      <w:r>
        <w:rPr>
          <w:b w:val="0"/>
        </w:rPr>
        <w:t>Exxon Mobil's CIK number is 0000034088, and its common stock trades on the New York Stock Exchange under the ticker symbol XOM. The company's most recent quarterly filing was submitted to the SEC on May 4, 2026.</w:t>
      </w:r>
    </w:p>
    <w:p>
      <w:pPr>
        <w:pStyle w:val="Heading2"/>
      </w:pPr>
      <w:r>
        <w:t>Financial Analysis - Income Statement</w:t>
      </w:r>
    </w:p>
    <w:p>
      <w:r>
        <w:rPr>
          <w:b w:val="0"/>
        </w:rPr>
        <w:t>Exxon Mobil generated Q1 2026 revenues of $85.1 billion, representing a modest increase from Q1 2025 revenues of $83.1 billion. For the full year 2025, total revenues reached $332.2 billion. Examining quarterly revenue trends, the company posted $83.1 billion in Q1 2025, $81.5 billion in Q2 2025, $85.3 billion in Q3 2025, and $85.1 billion in Q1 2026, indicating relative stability with a slight upward trajectory in recent quarters.</w:t>
      </w:r>
    </w:p>
    <w:p>
      <w:r>
        <w:rPr>
          <w:b w:val="0"/>
        </w:rPr>
        <w:t>Net income performance has shown more pronounced quarterly variation. Q1 2026 net income was $4.2 billion, compared to $7.7 billion in Q1 2025, $7.1 billion in Q2 2025, and $7.5 billion in Q3 2025. The Q1 2026 net income margin was approximately 4.9%, calculated as $4.2 billion divided by $85.1 billion in revenue. This compares unfavorably to Q1 2025's margin of approximately 9.3% ($7.7 billion / $83.1 billion), Q2 2025's margin of approximately 8.7% ($7.1 billion / $81.5 billion), and Q3 2025's margin of approximately 8.8% ($7.5 billion / $85.3 billion).</w:t>
      </w:r>
    </w:p>
    <w:p>
      <w:r>
        <w:rPr>
          <w:b w:val="0"/>
        </w:rPr>
        <w:t>For FY 2025, net income totaled $28.8 billion on revenues of $332.2 billion, yielding an annual net margin of approximately 8.7%. Diluted earnings per share were $6.70 for FY 2025 and $1.00 for Q1 2026, down from $1.76 in Q1 2025.</w:t>
      </w:r>
    </w:p>
    <w:p>
      <w:r>
        <w:rPr>
          <w:b w:val="0"/>
        </w:rPr>
        <w:t>Selling, general &amp; administrative expenses totaled $11.1 billion for FY 2025 and $2.7 billion in Q1 2026, relatively consistent with $2.5 billion in Q1 2025. Research and development expenses increased from $879 million in FY 2023 to $1.2 billion in FY 2025, indicating growing investment in technology and innovation initiatives, which partially offsets the margin compression observed in Q1 2026.</w:t>
      </w:r>
    </w:p>
    <w:p>
      <w:pPr>
        <w:pStyle w:val="Heading2"/>
      </w:pPr>
      <w:r>
        <w:t>Financial Analysis - Balance Sheet</w:t>
      </w:r>
    </w:p>
    <w:p>
      <w:r>
        <w:rPr>
          <w:b w:val="0"/>
        </w:rPr>
        <w:t>Exxon Mobil's balance sheet reflects the enormous scale of its integrated energy operations. Total assets stood at $464.4 billion at Q1 2026, up from $449.0 billion at FY 2025 year-end. The company's asset base has remained relatively stable over the trailing two-year period, ranging from $447.6 billion (Q2 2025) to $464.4 billion (Q1 2026).</w:t>
      </w:r>
    </w:p>
    <w:p>
      <w:r>
        <w:rPr>
          <w:b w:val="0"/>
        </w:rPr>
        <w:t>Total liabilities increased significantly to $203.4 billion in Q1 2026, up from $182.4 billion at FY 2025 year-end, representing an increase of approximately $21.1 billion or 11.5% in a single quarter. This represents the highest liability level observed in the available data and warrants close examination. Prior quarter liabilities were $182.1 billion in Q1 2025, $177.6 billion in Q2 2025, and $186.1 billion in Q3 2025. The leverage ratio (total liabilities to total assets) increased from 40.6% at FY 2025 to 43.8% at Q1 2026.</w:t>
      </w:r>
    </w:p>
    <w:p>
      <w:r>
        <w:rPr>
          <w:b w:val="0"/>
        </w:rPr>
        <w:t>Stockholders' equity declined to $254.4 billion at Q1 2026 from $259.4 billion at FY 2025, continuing a gradual decline from $263.7 billion at FY 2024. The equity base has contracted by approximately $9.3 billion over the trailing five-quarter period, primarily reflecting share repurchases and dividend payments exceeding retained earnings growth.</w:t>
      </w:r>
    </w:p>
    <w:p>
      <w:r>
        <w:rPr>
          <w:b w:val="0"/>
        </w:rPr>
        <w:t>Cash and cash equivalents present the most significant balance sheet concern. Cash declined from $23.0 billion at FY 2024 to $17.0 billion at Q1 2025, $14.4 billion at Q2 2025, $13.8 billion at Q3 2025, $10.7 billion at FY 2025, and $8.4 billion at Q1 2026. This represents a cumulative reduction of approximately $14.6 billion, or 63%, over five quarters. The accelerating pace of cash depletion—dropping $2.3 billion in Q1 2026 alone—raises questions about capital allocation priorities and the adequacy of liquidity headroom.</w:t>
      </w:r>
    </w:p>
    <w:p>
      <w:pPr>
        <w:pStyle w:val="Heading2"/>
      </w:pPr>
      <w:r>
        <w:t>Credit Strengths</w:t>
      </w:r>
    </w:p>
    <w:p>
      <w:r>
        <w:rPr>
          <w:b w:val="0"/>
        </w:rPr>
        <w:t>Exxon Mobil possesses several significant credit strengths that support its borrowing capacity. First, the company's enormous operational scale—with FY 2025 revenues of $332.2 billion and total assets of $464.4 billion—provides substantial financial flexibility and market presence. This scale makes Exxon Mobil one of the most systemically important energy companies globally.</w:t>
      </w:r>
    </w:p>
    <w:p>
      <w:r>
        <w:rPr>
          <w:b w:val="0"/>
        </w:rPr>
        <w:t>Second, the company maintains a substantial equity cushion with stockholders' equity of $254.4 billion at Q1 2026, representing a book equity-to-assets ratio of approximately 54.8%. This strong equity base provides significant loss-absorption capacity for creditors and supports investment-grade creditworthiness.</w:t>
      </w:r>
    </w:p>
    <w:p>
      <w:r>
        <w:rPr>
          <w:b w:val="0"/>
        </w:rPr>
        <w:t>Third, Exxon Mobil has demonstrated consistent profitability across all reported periods, with net income of $4.2 billion in Q1 2026, $7.7 billion in Q1 2025, $7.1 billion in Q2 2025, and $7.5 billion in Q3 2025. The FY 2025 full-year net income of $28.8 billion underscores the company's earnings generation capacity. Additionally, the increase in R&amp;D spending from $879 million in FY 2023 to $1.2 billion in FY 2025 demonstrates management's commitment to innovation and long-term competitiveness.</w:t>
      </w:r>
    </w:p>
    <w:p>
      <w:pPr>
        <w:pStyle w:val="Heading2"/>
      </w:pPr>
      <w:r>
        <w:t>Credit Risks</w:t>
      </w:r>
    </w:p>
    <w:p>
      <w:r>
        <w:rPr>
          <w:b w:val="0"/>
        </w:rPr>
        <w:t>Several credit risks require careful monitoring and mitigation through covenant protections. The most significant concern is the rapid decline in cash and cash equivalents, which fell from $23.0 billion at FY 2024 to $8.4 billion at Q1 2026—a reduction of $14.6 billion or 63% over five quarters. If this trend continues, the company's liquidity position could become strained, particularly if commodity prices decline or capital expenditure requirements increase.</w:t>
      </w:r>
    </w:p>
    <w:p>
      <w:r>
        <w:rPr>
          <w:b w:val="0"/>
        </w:rPr>
        <w:t>Second, the sharp increase in total liabilities from $182.4 billion at FY 2025 to $203.4 billion at Q1 2026—an increase of $21.1 billion in a single quarter—represents a meaningful deterioration in the leverage profile. The leverage ratio (liabilities-to-assets) increased from 40.6% to 43.8%, and further increases could pressure credit metrics and covenant compliance.</w:t>
      </w:r>
    </w:p>
    <w:p>
      <w:r>
        <w:rPr>
          <w:b w:val="0"/>
        </w:rPr>
        <w:t>Third, while revenues have been relatively stable, quarterly net income margins have compressed significantly in Q1 2026 to approximately 4.9% from the 8.7-9.3% range observed in prior quarters. This margin compression, combined with the declining equity base (from $263.7 billion at FY 2024 to $254.4 billion at Q1 2026), suggests potential vulnerability to sustained commodity price weakness or operational disruptions. Diluted EPS declined from $1.76 in Q1 2025 to $1.00 in Q1 2026, further illustrating the earnings pressure.</w:t>
      </w:r>
    </w:p>
    <w:p>
      <w:pPr>
        <w:pStyle w:val="Heading2"/>
      </w:pPr>
      <w:r>
        <w:t>Covenant Recommendations</w:t>
      </w:r>
    </w:p>
    <w:p>
      <w:r>
        <w:rPr>
          <w:b w:val="0"/>
        </w:rPr>
        <w:t>Based on the financial analysis presented above, we recommend the following covenant package for the amended revolving credit facility. These covenants are designed to provide early warning of credit deterioration while maintaining operational flexibility for a borrower of Exxon Mobil's scale and credit quality.</w:t>
      </w:r>
    </w:p>
    <w:p>
      <w:r>
        <w:rPr>
          <w:b w:val="0"/>
        </w:rPr>
        <w:t>First, we recommend a maximum leverage ratio covenant (total liabilities to total assets) not to exceed 50.0%. At Q1 2026, the company's leverage ratio stood at 43.8%, having increased from 40.6% at FY 2025 due to the $21.1 billion increase in liabilities. Setting the covenant at 50.0% provides adequate headroom (approximately 620 basis points of cushion) while ensuring the bank is protected against further balance sheet deterioration. Testing should be performed quarterly.</w:t>
      </w:r>
    </w:p>
    <w:p>
      <w:r>
        <w:rPr>
          <w:b w:val="0"/>
        </w:rPr>
        <w:t>Second, we recommend a minimum cash and cash equivalents covenant of $5.0 billion. Cash balances have declined from $23.0 billion at FY 2024 to $8.4 billion at Q1 2026. Setting the floor at $5.0 billion ensures that the company maintains adequate liquidity to service debt obligations and fund working capital needs, while providing a buffer above the current trajectory. This covenant should be tested quarterly and would have approximately $3.4 billion of headroom based on Q1 2026 levels.</w:t>
      </w:r>
    </w:p>
    <w:p>
      <w:r>
        <w:rPr>
          <w:b w:val="0"/>
        </w:rPr>
        <w:t>Third, we recommend a minimum stockholders' equity covenant of $230.0 billion. Current equity stands at $254.4 billion, down from $263.7 billion at FY 2024. This covenant protects against excessive capital returns to shareholders and ensures the maintenance of an adequate equity cushion. The proposed threshold provides approximately $24.4 billion of headroom and should be tested quarterly.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