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Credit Memo - Procter &amp; Gamble Co.</w:t>
      </w:r>
    </w:p>
    <w:p>
      <w:r>
        <w:rPr>
          <w:b/>
        </w:rPr>
        <w:t>TO:</w:t>
        <w:tab/>
      </w:r>
      <w:r>
        <w:t>Credit Committee</w:t>
      </w:r>
    </w:p>
    <w:p>
      <w:r>
        <w:rPr>
          <w:b/>
        </w:rPr>
        <w:t>FROM:</w:t>
        <w:tab/>
      </w:r>
      <w:r>
        <w:t>Credit Analysis Group</w:t>
      </w:r>
    </w:p>
    <w:p>
      <w:r>
        <w:rPr>
          <w:b/>
        </w:rPr>
        <w:t>DATE:</w:t>
        <w:tab/>
      </w:r>
      <w:r>
        <w:t>May 2026</w:t>
      </w:r>
    </w:p>
    <w:p>
      <w:r>
        <w:rPr>
          <w:b/>
        </w:rPr>
        <w:t>RE:</w:t>
        <w:tab/>
      </w:r>
      <w:r>
        <w:t>Annual Credit Review - Procter &amp; Gamble Co. (NYSE: PG)</w:t>
      </w:r>
    </w:p>
    <w:p>
      <w:r>
        <w:t>________________________________________________________________________________</w:t>
      </w:r>
    </w:p>
    <w:p>
      <w:pPr>
        <w:pStyle w:val="Heading1"/>
      </w:pPr>
      <w:r>
        <w:t>Executive Summary</w:t>
      </w:r>
    </w:p>
    <w:p>
      <w:r>
        <w:rPr>
          <w:b w:val="0"/>
        </w:rPr>
        <w:t>This credit memo evaluates the ongoing creditworthiness of Procter &amp; Gamble Co. (NYSE: PG) for inclusion in the bank's commercial lending portfolio. The analysis covers the company's trailing twelve-month (TTM) financial performance through the third quarter of fiscal year 2026 (quarter ended March 31, 2026) and assesses the firm's capacity to service debt obligations over the near-to-medium term.</w:t>
      </w:r>
    </w:p>
    <w:p>
      <w:r>
        <w:rPr>
          <w:b w:val="0"/>
        </w:rPr>
        <w:t>Procter &amp; Gamble continues to demonstrate the financial resilience expected of a leading consumer staples company. TTM revenue through Q3 FY2026 totaled approximately $64.8 billion, reflecting a modest but consistent revenue base. TTM operating income of approximately $15.8 billion and net income of approximately $13.0 billion underscore the company's strong profitability profile. Operating margins remained healthy at approximately 24.3% on a TTM basis, supported by disciplined cost management and pricing power across its portfolio of household and personal care brands.</w:t>
      </w:r>
    </w:p>
    <w:p>
      <w:r>
        <w:rPr>
          <w:b w:val="0"/>
        </w:rPr>
        <w:t>The balance sheet remains conservatively managed, with total liabilities of $73.6 billion against total assets of $128.4 billion as of Q3 FY2026, yielding a liabilities-to-assets ratio of 57.4%. This represents a modest improvement from the FY2025 year-end ratio of 58.2%. Quarterly revenue trends show some variability, with Q3 FY2026 revenue of $21.2 billion slightly below Q2 FY2026 levels of $22.2 billion, though operating income showed sequential pressure.</w:t>
      </w:r>
    </w:p>
    <w:p>
      <w:r>
        <w:rPr>
          <w:b w:val="0"/>
        </w:rPr>
        <w:t>Based on the analysis presented herein, the credit recommendation is to HOLD the existing credit facility. Procter &amp; Gamble's fundamental credit profile remains strong, characterized by industry-leading margins, stable cash generation, and a conservative leverage profile. The modest quarterly revenue variability does not indicate structural deterioration but warrants monitoring in subsequent quarters.</w:t>
      </w:r>
    </w:p>
    <w:p>
      <w:pPr>
        <w:pStyle w:val="Heading1"/>
      </w:pPr>
      <w:r>
        <w:t>Financial Performance Analysis</w:t>
      </w:r>
    </w:p>
    <w:p>
      <w:r>
        <w:rPr>
          <w:b w:val="0"/>
        </w:rPr>
        <w:t>Procter &amp; Gamble reported FY2025 (fiscal year ending June 30, 2025) total revenue of $84.3 billion, operating income of $20.5 billion, and net income of $16.0 billion. These results translated into a gross margin of 51.2% ($84.3B less $41.2B COGS divided by revenue), an operating margin of 24.3%, and a net margin of 18.9%. Diluted earnings per share for FY2025 were $6.51.</w:t>
      </w:r>
    </w:p>
    <w:p>
      <w:r>
        <w:rPr>
          <w:b w:val="0"/>
        </w:rPr>
        <w:t>For the trailing twelve-month period through Q3 FY2026, TTM revenue is computed as FY2025 revenue ($84.3B) plus Q1 FY2026 ($22.4B) plus Q2 FY2026 ($22.2B) plus Q3 FY2026 ($21.2B) less the first three quarters of FY2025 ($63.4B), yielding approximately $64.8 billion. Similarly, TTM operating income totals approximately $15.8 billion and TTM net income totals approximately $13.0 billion. TTM gross margin was approximately 50.6%, while TTM operating margin was approximately 24.3%.</w:t>
      </w:r>
    </w:p>
    <w:p>
      <w:r>
        <w:rPr>
          <w:b w:val="0"/>
        </w:rPr>
        <w:t>Quarterly revenue analysis for FY2026 reveals a sequential decline from Q1 ($22.4B) to Q2 ($22.2B) to Q3 ($21.2B). Q3 FY2026 revenue of $21.2 billion represented a quarter-over-quarter decline of approximately 4.4% from Q2 levels. This sequential softening in top-line performance is a trend that warrants continued monitoring in the coming quarters.</w:t>
      </w:r>
    </w:p>
    <w:p>
      <w:r>
        <w:rPr>
          <w:b w:val="0"/>
        </w:rPr>
        <w:t>Operating income trends across the first three quarters of FY2026 show a pattern of decline: Q1 at $5.9 billion, Q2 at $5.4 billion, and Q3 at $4.6 billion. This sequential compression in operating income warrants close monitoring, as it may reflect margin pressure from input costs, competitive dynamics, or unfavorable product mix shifts.</w:t>
      </w:r>
    </w:p>
    <w:p>
      <w:pPr>
        <w:pStyle w:val="Heading1"/>
      </w:pPr>
      <w:r>
        <w:t>Profitability and Margin Analysis</w:t>
      </w:r>
    </w:p>
    <w:p>
      <w:r>
        <w:rPr>
          <w:b w:val="0"/>
        </w:rPr>
        <w:t>Procter &amp; Gamble's profitability metrics remain among the strongest in the consumer staples sector. FY2025 gross margin of 51.2% reflects the company's premium pricing power and brand strength across its five industry-leading segments: Beauty, Grooming, Health Care, Fabric &amp; Home Care, and Baby, Feminine &amp; Family Care.</w:t>
      </w:r>
    </w:p>
    <w:p>
      <w:r>
        <w:rPr>
          <w:b w:val="0"/>
        </w:rPr>
        <w:t>The TTM gross margin through Q3 FY2026 was approximately 50.6%, calculated as TTM revenue of $64.8 billion less TTM cost of goods sold of approximately $32.0 billion (computed as FY2025 COGS of $41.2B plus Q1-Q3 FY2026 COGS of $32.4B less Q1-Q3 FY2025 COGS of $30.5B), divided by TTM revenue. This represents a modest contraction of approximately 60 basis points relative to FY2025, suggesting some input cost pressure or pricing headwinds.</w:t>
      </w:r>
    </w:p>
    <w:p>
      <w:r>
        <w:rPr>
          <w:b w:val="0"/>
        </w:rPr>
        <w:t>Return on assets (ROA) provides insight into how efficiently PG deploys its asset base. Using average total assets of approximately $127.0 billion (average of FY2025 year-end assets of $125.2B and Q3 FY2026 assets of $128.4B), the TTM ROA was approximately 10.2%. This is a strong ROA for a consumer staples company with significant tangible and intangible asset base.</w:t>
      </w:r>
    </w:p>
    <w:p>
      <w:r>
        <w:rPr>
          <w:b w:val="0"/>
        </w:rPr>
        <w:t>Diluted EPS for the TTM period through Q3 FY2026 was $5.36 for the nine months ended March 2026, with Q3 FY2026 quarterly EPS of $1.63. The quarterly EPS trend shows Q1 at $1.95, Q2 at $1.78, and Q3 at $1.63, reflecting the same sequential compression observed in operating income.</w:t>
      </w:r>
    </w:p>
    <w:p>
      <w:pPr>
        <w:pStyle w:val="Heading1"/>
      </w:pPr>
      <w:r>
        <w:t>Balance Sheet and Leverage Assessment</w:t>
      </w:r>
    </w:p>
    <w:p>
      <w:r>
        <w:rPr>
          <w:b w:val="0"/>
        </w:rPr>
        <w:t>As of March 31, 2026 (Q3 FY2026), Procter &amp; Gamble reported total assets of $128.4 billion and total liabilities of $73.6 billion. This yields a total liabilities-to-total assets ratio of 57.4%, indicating a moderately leveraged capital structure appropriate for a company of PG's scale and cash flow generation profile.</w:t>
      </w:r>
    </w:p>
    <w:p>
      <w:r>
        <w:rPr>
          <w:b w:val="0"/>
        </w:rPr>
        <w:t>Comparing to the FY2025 year-end balance sheet (June 30, 2025), total assets were $125.2 billion and total liabilities were $72.9 billion, yielding a liabilities-to-assets ratio of 58.2%. The 80 basis point improvement in the ratio reflects asset growth outpacing liability growth over the nine-month period, a constructive credit development.</w:t>
      </w:r>
    </w:p>
    <w:p>
      <w:r>
        <w:rPr>
          <w:b w:val="0"/>
        </w:rPr>
        <w:t>Shareholders' equity, calculated as total assets less total liabilities, was approximately $54.7 billion as of Q3 FY2026, up from $52.3 billion at FY2025 year-end. This $2.4 billion increase in equity reflects the accumulation of retained earnings net of dividends and share repurchases, reinforcing the company's strong capital retention capacity.</w:t>
      </w:r>
    </w:p>
    <w:p>
      <w:r>
        <w:rPr>
          <w:b w:val="0"/>
        </w:rPr>
        <w:t>The asset base grew from $125.2 billion to $128.4 billion over the nine-month period, an increase of $3.2 billion or 2.6%. This measured growth in assets, combined with disciplined liability management, supports a stable credit profile. The company's historical cash position has traditionally been a source of financial flexibility for PG.</w:t>
      </w:r>
    </w:p>
    <w:p>
      <w:pPr>
        <w:pStyle w:val="Heading1"/>
      </w:pPr>
      <w:r>
        <w:t>Expense Analysis</w:t>
      </w:r>
    </w:p>
    <w:p>
      <w:r>
        <w:rPr>
          <w:b w:val="0"/>
        </w:rPr>
        <w:t>Selling, general and administrative (SG&amp;A) expense is a critical line item for evaluating PG's operational efficiency. For FY2025, SG&amp;A totaled $22.7 billion, representing 26.9% of revenue ($84.3B). For the TTM period through Q3 FY2026, TTM SG&amp;A was computed as FY2025 SG&amp;A ($22.7B) plus Q1-Q3 FY2026 SG&amp;A ($17.6B) less Q1-Q3 FY2025 SG&amp;A ($16.8B), yielding approximately $23.5 billion, or approximately 27.5% of TTM revenue.</w:t>
      </w:r>
    </w:p>
    <w:p>
      <w:r>
        <w:rPr>
          <w:b w:val="0"/>
        </w:rPr>
        <w:t>The approximately 60 basis point increase in SG&amp;A as a percentage of revenue from FY2025 to the TTM period is a modest adverse development that merits attention. This increase may reflect higher marketing spend to support brand investment, increased distribution costs, or wage inflation across the organization.</w:t>
      </w:r>
    </w:p>
    <w:p>
      <w:r>
        <w:rPr>
          <w:b w:val="0"/>
        </w:rPr>
        <w:t>Research and development (R&amp;D) expense totaled $2.1 billion in FY2025, representing 2.5% of revenue. R&amp;D spending increased from $2.0 billion in both FY2024 and FY2023, reflecting a modest step-up in innovation investment. R&amp;D intensity at 2.5% is consistent with the industry average for large consumer staples companies and supports PG's competitive position through continuous product improvement and innovation.</w:t>
      </w:r>
    </w:p>
    <w:p>
      <w:r>
        <w:rPr>
          <w:b w:val="0"/>
        </w:rPr>
        <w:t>Total operating expenses (COGS plus SG&amp;A plus R&amp;D) as a percentage of revenue provides a comprehensive view of cost structure. For FY2025, total operating expenses were approximately $65.9 billion, or 78.3% of revenue, leaving an operating margin of approximately 21.7% before other items. The discipline in maintaining R&amp;D investment while managing SG&amp;A growth is a credit positive for PG's long-term competitive positioning.</w:t>
      </w:r>
    </w:p>
    <w:p>
      <w:pPr>
        <w:pStyle w:val="Heading1"/>
      </w:pPr>
      <w:r>
        <w:t>Credit Assessment and Recommendation</w:t>
      </w:r>
    </w:p>
    <w:p>
      <w:r>
        <w:rPr>
          <w:b w:val="0"/>
        </w:rPr>
        <w:t>Credit Strengths: Procter &amp; Gamble benefits from an unparalleled portfolio of consumer brands with leading market positions globally. The company's FY2025 operating margin of 24.3% and net margin of 18.9% are indicative of strong pricing power and brand equity. TTM net income of $13.0 billion provides substantial debt service capacity. The balance sheet leverage ratio improved from 58.2% at FY2025 year-end to 57.4% at Q3 FY2026, reflecting disciplined capital management. The company operates in the defensive consumer staples sector, providing revenue stability through economic cycles.</w:t>
      </w:r>
    </w:p>
    <w:p>
      <w:r>
        <w:rPr>
          <w:b w:val="0"/>
        </w:rPr>
        <w:t>Credit Risks: The sequential decline in quarterly operating income from $5.9 billion (Q1 FY2026) to $4.6 billion (Q3 FY2026) represents a significant decline over two quarters and warrants close monitoring. TTM gross margin compression of approximately 60 basis points relative to FY2025 suggests emerging input cost pressures. SG&amp;A as a percentage of revenue increased modestly, indicating potential expense control challenges. The modest sequential decline in quarterly revenue from Q1 to Q3 FY2026, while not alarming for a mature company, should be watched for further deterioration.</w:t>
      </w:r>
    </w:p>
    <w:p>
      <w:r>
        <w:rPr>
          <w:b w:val="0"/>
        </w:rPr>
        <w:t>The credit recommendation is to HOLD the existing revolving credit facility at its current terms. Procter &amp; Gamble's fundamental credit quality remains investment-grade caliber, supported by industry-leading profitability, a diversified and defensive revenue base, and conservative balance sheet management. The observed margin compression and operating income sequential declines are relatively modest and do not yet indicate a fundamental deterioration in the company's competitive position or financial health.</w:t>
      </w:r>
    </w:p>
    <w:p>
      <w:r>
        <w:rPr>
          <w:b w:val="0"/>
        </w:rPr>
        <w:t>Monitoring priorities for the next review period include: (1) Q4 FY2026 revenue and operating income trends to determine whether the sequential decline stabilizes or accelerates; (2) gross margin trajectory relative to input cost trends; (3) any material changes to capital allocation policy, particularly regarding share repurchases and dividend commitments; and (4) competitive dynamics in key product categories that could further pressure pricing and margins.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