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Memo - The Boeing Company</w:t>
      </w:r>
    </w:p>
    <w:p>
      <w:r>
        <w:rPr>
          <w:b/>
        </w:rPr>
        <w:t>TO:</w:t>
        <w:tab/>
      </w:r>
      <w:r>
        <w:t>Credit Risk Committee</w:t>
      </w:r>
    </w:p>
    <w:p>
      <w:r>
        <w:rPr>
          <w:b/>
        </w:rPr>
        <w:t>FROM:</w:t>
        <w:tab/>
      </w:r>
      <w:r>
        <w:t>Leveraged Finance Group</w:t>
      </w:r>
    </w:p>
    <w:p>
      <w:r>
        <w:rPr>
          <w:b/>
        </w:rPr>
        <w:t>DATE:</w:t>
        <w:tab/>
      </w:r>
      <w:r>
        <w:t>May 2026</w:t>
      </w:r>
    </w:p>
    <w:p>
      <w:r>
        <w:rPr>
          <w:b/>
        </w:rPr>
        <w:t>RE:</w:t>
        <w:tab/>
      </w:r>
      <w:r>
        <w:t>Credit Memorandum - The Boeing Company (BA)</w:t>
      </w:r>
    </w:p>
    <w:p>
      <w:r>
        <w:t>________________________________________________________________________________</w:t>
      </w:r>
    </w:p>
    <w:p/>
    <w:p>
      <w:r>
        <w:t>Prepared by: Senior Credit Analyst, Leveraged Finance Group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