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TO:</w:t>
        <w:tab/>
      </w:r>
      <w:r>
        <w:t>Senior Partner</w:t>
      </w:r>
    </w:p>
    <w:p>
      <w:r>
        <w:rPr>
          <w:b/>
        </w:rPr>
        <w:t>FROM:</w:t>
        <w:tab/>
      </w:r>
      <w:r>
        <w:t>Associate</w:t>
      </w:r>
    </w:p>
    <w:p>
      <w:r>
        <w:rPr>
          <w:b/>
        </w:rPr>
        <w:t>DATE:</w:t>
        <w:tab/>
      </w:r>
      <w:r>
        <w:t>[Current Date]</w:t>
      </w:r>
    </w:p>
    <w:p>
      <w:r>
        <w:rPr>
          <w:b/>
        </w:rPr>
        <w:t>RE:</w:t>
        <w:tab/>
      </w:r>
      <w:r>
        <w:t>Analysis of Second Amendment Framework in United States v. Vlha, 142 F.4th 1194 (9th Cir. 2025)</w:t>
      </w:r>
    </w:p>
    <w:p>
      <w:r>
        <w:t>________________________________________________________________________________</w:t>
      </w:r>
    </w:p>
    <w:p>
      <w:pPr>
        <w:pStyle w:val="Heading1"/>
      </w:pPr>
      <w:r>
        <w:t>MEMORANDUM</w:t>
      </w:r>
    </w:p>
    <w:p>
      <w:r>
        <w:rPr>
          <w:b w:val="0"/>
        </w:rPr>
        <w:t>To: Senior Partner</w:t>
        <w:br/>
        <w:t>From: Associate</w:t>
        <w:br/>
        <w:t>Date: [Current Date]</w:t>
        <w:br/>
        <w:t>Re: Analysis of Second Amendment Framework in United States v. Vlha, 142 F.4th 1194 (9th Cir. 2025)</w:t>
      </w:r>
    </w:p>
    <w:p>
      <w:pPr>
        <w:pStyle w:val="Heading2"/>
      </w:pPr>
      <w:r>
        <w:t>I. Introduction</w:t>
      </w:r>
    </w:p>
    <w:p>
      <w:r>
        <w:rPr>
          <w:b w:val="0"/>
        </w:rPr>
        <w:t>This memorandum analyzes the Ninth Circuit's opinion in United States v. Vlha, 142 F.4th 1194 (9th Cir. 2025), which affirmed convictions under 18 U.S.C. § 922(a)(1)(A) (conspiracy to manufacture firearms for sale without a federal license) and 18 U.S.C. § 922(d)(1) (selling a firearm to a felon). The court rejected defendants' challenges that these statutes violate the Second Amendment under New York State Rifle &amp; Pistol Ass'n v. Bruen, 597 U.S. 1 (2022).</w:t>
      </w:r>
    </w:p>
    <w:p>
      <w:r>
        <w:rPr>
          <w:b w:val="0"/>
        </w:rPr>
        <w:t>The opinion, authored by Judge Forrest and joined by Judges Gould and Ikuta, addresses two key questions: (1) whether the ancillary-rights doctrine survived Bruen, and (2) how the meaningful-constraint test applies to the regulated conduct. This analysis will assist in evaluating whether to recommend filing an amicus brief in support of a potential cert petition.</w:t>
      </w:r>
    </w:p>
    <w:p>
      <w:pPr>
        <w:pStyle w:val="Heading2"/>
      </w:pPr>
      <w:r>
        <w:t>II. Background and Procedural History</w:t>
      </w:r>
    </w:p>
    <w:p>
      <w:r>
        <w:rPr>
          <w:b w:val="0"/>
        </w:rPr>
        <w:t>Defendants James Vlha and Travis Schlotterbeck conspired to manufacture and sell semi-automatic AR-15 firearms without a license in Bellflower, California. They accepted orders for custom assault weapons, created parts using specialized equipment, and assembled and sold the firearms. In 2015 and 2016, they manufactured custom assault weapons and unwittingly sold them to various undercover agents. Schlotterbeck also sold a firearm to a confidential informant who he believed was a felon.</w:t>
      </w:r>
    </w:p>
    <w:p>
      <w:r>
        <w:rPr>
          <w:b w:val="0"/>
        </w:rPr>
        <w:t>Defendants were charged with conspiring to engage in the business of manufacturing and dealing firearms without a license under 18 U.S.C. § 922(a)(1)(A), and Schlotterbeck was additionally charged with selling a firearm to a felon under 18 U.S.C. § 922(d)(1).</w:t>
      </w:r>
    </w:p>
    <w:p>
      <w:r>
        <w:rPr>
          <w:b w:val="0"/>
        </w:rPr>
        <w:t>Defendants moved to dismiss their indictment under Federal Rule of Criminal Procedure 12(b)(3) as unconstitutional under Bruen. The district court, with District Judge George H. Wu presiding, denied their motion. Defendants entered conditional pleas preserving their right to appeal that decision and timely appealed to the Ninth Circuit.</w:t>
      </w:r>
    </w:p>
    <w:p>
      <w:pPr>
        <w:pStyle w:val="Heading2"/>
      </w:pPr>
      <w:r>
        <w:t>III. The Ancillary-Rights Doctrine and Its Survival After Bruen</w:t>
      </w:r>
    </w:p>
    <w:p>
      <w:r>
        <w:rPr>
          <w:b w:val="0"/>
        </w:rPr>
        <w:t>The Ninth Circuit applied what it terms the "ancillary-rights doctrine" to analyze whether the Second Amendment's plain text covers the regulated conduct. Under this doctrine, where a challenger's direct possessory right to "keep and bear Arms" is not implicated, the Second Amendment's protection is limited to ancillary activities only if the regulation of such activities "meaningfully constrains" the core individual possessory right. Vlha, 142 F.4th at 1197-98 (citing Teixeira v. County of Alameda, 873 F.3d 670, 680 (9th Cir. 2017) (en banc)).</w:t>
      </w:r>
    </w:p>
    <w:p>
      <w:r>
        <w:rPr>
          <w:b w:val="0"/>
        </w:rPr>
        <w:t>The court held that Bruen did not abrogate this doctrine. The opinion states: "Bruen did not abrogate our ancillary-rights doctrine. B&amp;L Prods., 104 F.4th at 120; see also Duncan v. Bonta, 133 F.4th 852, 866-67 (9th Cir. 2025) (en banc)." Vlha, 142 F.4th at 1198. The court reasoned that the doctrine is based on the text of the Second Amendment, which prohibits "meaningful constraints" on the right to possess firearms. Id.</w:t>
      </w:r>
    </w:p>
    <w:p>
      <w:r>
        <w:rPr>
          <w:b w:val="0"/>
        </w:rPr>
        <w:t>The court noted that several sister circuits have adopted or endorsed similar tests, citing Gazzola v. Hochul, 88 F.4th 186, 196-97 (2d Cir. 2023), and McRorey v. Garland, 99 F.4th 831, 839 (5th Cir. 2024). Vlha, 142 F.4th at 1198.</w:t>
      </w:r>
    </w:p>
    <w:p>
      <w:pPr>
        <w:pStyle w:val="Heading2"/>
      </w:pPr>
      <w:r>
        <w:t>IV. Application to § 922(a)(1)(A)</w:t>
      </w:r>
    </w:p>
    <w:p>
      <w:r>
        <w:rPr>
          <w:b w:val="0"/>
        </w:rPr>
        <w:t>The court applied the meaningful-constraint test to determine whether § 922(a)(1)(A)'s requirement that commercial firearm manufacturers obtain a federal license is presumptively protected by the Second Amendment. The court held that "the text of the Second Amendment does not cover the conduct regulated by § 922(a)(1)(A) because requiring commercial firearm manufacturers to obtain licenses—under a non-discretionary scheme that requires the license to be issued if the applicant pays a filing fee, is at least 21-years old, has premises on which to conduct his business, and is generally compliant with other laws—does not meaningfully constrain would-be purchasers from obtaining firearms." Vlha, 142 F.4th at 1196.</w:t>
      </w:r>
    </w:p>
    <w:p>
      <w:r>
        <w:rPr>
          <w:b w:val="0"/>
        </w:rPr>
        <w:t>The court emphasized that there is not "a freestanding right" to sell firearms that is "wholly detached from any customer's ability to acquire firearms." Id. at 1197 (citing Teixeira, 873 F.3d at 682). A vendor challenging a firearms regulation must demonstrate that would-be purchasers' core right of possession is being meaningfully constrained. Id. Here, because the licensing scheme is non-discretionary and does not impose substantial barriers, the defendants failed to show such a meaningful constraint.</w:t>
      </w:r>
    </w:p>
    <w:p>
      <w:r>
        <w:rPr>
          <w:b w:val="0"/>
        </w:rPr>
        <w:t>Thus, defendants' constitutional challenge to § 922(a)(1)(A) fails because the regulated conduct falls outside the Second Amendment's text. As the court stated, "if the text of the Second Amendment does not protect the conduct at issue, a constitutional challenge necessarily fails." Id. at 1197 (citing B&amp;L Prods., Inc. v. Newsom, 104 F.4th 108, 120 (9th Cir. 2024)).</w:t>
      </w:r>
    </w:p>
    <w:p>
      <w:pPr>
        <w:pStyle w:val="Heading2"/>
      </w:pPr>
      <w:r>
        <w:t>V. Application to § 922(d)(1)</w:t>
      </w:r>
    </w:p>
    <w:p>
      <w:r>
        <w:rPr>
          <w:b w:val="0"/>
        </w:rPr>
        <w:t>The court also rejected Schlotterbeck's facial and as-applied challenges to § 922(d)(1), which prohibits selling a firearm to a felon. The court applied the same ancillary-rights framework, holding that "the logic of United States v. Duarte, 137 F.4th 743 (9th Cir. 2025) (en banc)—which held that 18 U.S.C. § 922(g)(1)'s ban on felons possessing firearms is justified by our nation's history and tradition of disarming people the legislature deems dangerous—dictates the outcome here." Vlha, 142 F.4th at 1196.</w:t>
      </w:r>
    </w:p>
    <w:p>
      <w:r>
        <w:rPr>
          <w:b w:val="0"/>
        </w:rPr>
        <w:t>The court reasoned that "Section § 922(d)(1)'s prohibition on sales to felons cannot meaningfully constrain the possessory rights of felons because they do not have possessory rights." Id. Since felons lack a Second Amendment right to possess firearms under Duarte, a prohibition on selling firearms to them cannot implicate any ancillary right to purchase. Therefore, the statute does not burden any constitutionally protected conduct.</w:t>
      </w:r>
    </w:p>
    <w:p>
      <w:r>
        <w:rPr>
          <w:b w:val="0"/>
        </w:rPr>
        <w:t>The court cited United States v. Rahimi, 602 U.S. 680, 693 (2024), for the standard that facial challenges require showing "'that no set of circumstances exists under which the [law] would be valid.'" Vlha, 142 F.4th at 1196. Schlotterbeck's challenges failed because § 922(d)(1) is valid as applied to sales to felons who have no possessory rights.</w:t>
      </w:r>
    </w:p>
    <w:p>
      <w:pPr>
        <w:pStyle w:val="Heading2"/>
      </w:pPr>
      <w:r>
        <w:t>VI. Conclusion</w:t>
      </w:r>
    </w:p>
    <w:p>
      <w:r>
        <w:rPr>
          <w:b w:val="0"/>
        </w:rPr>
        <w:t>The Ninth Circuit affirmed both convictions. For § 922(a)(1)(A), the court held that the licensing requirement does not meaningfully constrain purchasers' core possessory rights and thus falls outside the Second Amendment's text. For § 922(d)(1), the court held that because felons lack possessory rights, a ban on selling firearms to them cannot burden any constitutionally protected conduct.</w:t>
      </w:r>
    </w:p>
    <w:p>
      <w:r>
        <w:rPr>
          <w:b w:val="0"/>
        </w:rPr>
        <w:t>The opinion demonstrates the court's continued application of the ancillary-rights doctrine after Bruen, relying on the meaningful-constraint test as a textual interpretation of the Second Amendment. This framework may present a significant question for the Supreme Court regarding the scope of Second Amendment protections for commercial firearms activities and sales to prohibited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