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Memo - Tesla, Inc.</w:t>
      </w:r>
    </w:p>
    <w:p>
      <w:r>
        <w:rPr>
          <w:b/>
        </w:rPr>
        <w:t>TO:</w:t>
        <w:tab/>
      </w:r>
      <w:r>
        <w:t>Risk Committee, Technology &amp; Industrials Coverage Group</w:t>
      </w:r>
    </w:p>
    <w:p>
      <w:r>
        <w:rPr>
          <w:b/>
        </w:rPr>
        <w:t>FROM:</w:t>
        <w:tab/>
      </w:r>
      <w:r>
        <w:t>Credit Analyst, Technology &amp; Industrials Coverage Group</w:t>
      </w:r>
    </w:p>
    <w:p>
      <w:r>
        <w:rPr>
          <w:b/>
        </w:rPr>
        <w:t>DATE:</w:t>
        <w:tab/>
      </w:r>
      <w:r>
        <w:t>2026-05-05</w:t>
      </w:r>
    </w:p>
    <w:p>
      <w:r>
        <w:rPr>
          <w:b/>
        </w:rPr>
        <w:t>RE:</w:t>
        <w:tab/>
      </w:r>
      <w:r>
        <w:t>Credit Review - Tesla, Inc. (TSLA) - Q1 2026 Quarterly Update</w:t>
      </w:r>
    </w:p>
    <w:p>
      <w:r>
        <w:t>________________________________________________________________________________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