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People v. Hemingway</w:t>
      </w:r>
    </w:p>
    <w:p>
      <w:r>
        <w:rPr>
          <w:b/>
        </w:rPr>
        <w:t>TO:</w:t>
        <w:tab/>
      </w:r>
      <w:r>
        <w:t>Criminal Defense Team</w:t>
      </w:r>
    </w:p>
    <w:p>
      <w:r>
        <w:rPr>
          <w:b/>
        </w:rPr>
        <w:t>FROM:</w:t>
        <w:tab/>
      </w:r>
      <w:r>
        <w:t>Appellate Attorney</w:t>
      </w:r>
    </w:p>
    <w:p>
      <w:r>
        <w:rPr>
          <w:b/>
        </w:rPr>
        <w:t>DATE:</w:t>
        <w:tab/>
      </w:r>
      <w:r>
        <w:t>2025</w:t>
      </w:r>
    </w:p>
    <w:p>
      <w:r>
        <w:rPr>
          <w:b/>
        </w:rPr>
        <w:t>RE:</w:t>
        <w:tab/>
      </w:r>
      <w:r>
        <w:t>People v. Hemingway, 2025 NY Slip Op 02965 – Analysis of Indictment Amendment Standards</w:t>
      </w:r>
    </w:p>
    <w:p>
      <w:r>
        <w:t>________________________________________________________________________________</w:t>
      </w:r>
    </w:p>
    <w:p>
      <w:pPr>
        <w:pStyle w:val="Heading1"/>
      </w:pPr>
      <w:r>
        <w:t>Issue Presented</w:t>
      </w:r>
    </w:p>
    <w:p>
      <w:r>
        <w:rPr>
          <w:b w:val="0"/>
        </w:rPr>
        <w:t>Whether the County Court erred in granting the People's application to amend Count 1 of the indictment from a reference to Vehicle and Traffic Law § 1192(2) (alcohol intoxication) to § 1192(4) (drug impairment) after the close of evidence at trial, where the grand jury evidence demonstrated drug impairment and the error was alleged to be typographical.</w:t>
      </w:r>
    </w:p>
    <w:p>
      <w:pPr>
        <w:pStyle w:val="Heading1"/>
      </w:pPr>
      <w:r>
        <w:t>Brief Answer</w:t>
      </w:r>
    </w:p>
    <w:p>
      <w:r>
        <w:rPr>
          <w:b w:val="0"/>
        </w:rPr>
        <w:t>No. The Court of Appeals affirmed the Appellate Division, holding that County Court did not err in ordering the indictment amended pursuant to CPL 200.70(1). The court concluded that the erroneous reference to Vehicle and Traffic Law § 1192(2) was a demonstrable typographical error. The amendment aligned with the evidence adduced before the grand jury, which demonstrated defendant's drug impairment, did not change the People's theory of the case, and did not otherwise prejudice the defendant. Finally, the amendment was not precluded by CPL 200.70(2)(a) or (b) because the original indictment legally and factually alleged all of the elements of the crime of aggravated driving while intoxicated.</w:t>
      </w:r>
    </w:p>
    <w:p>
      <w:pPr>
        <w:pStyle w:val="Heading1"/>
      </w:pPr>
      <w:r>
        <w:t>Statement of Facts</w:t>
      </w:r>
    </w:p>
    <w:p>
      <w:r>
        <w:rPr>
          <w:b w:val="0"/>
        </w:rPr>
        <w:t>Defendant Carissa Hemingway drove while under the influence of drugs with a baby in the car. She admitted to using marijuana, and a subsequent blood test confirmed the presence of the active ingredient in marijuana and Oxycodone. She was indicted for several crimes arising out of the incident.</w:t>
      </w:r>
    </w:p>
    <w:p>
      <w:r>
        <w:rPr>
          <w:b w:val="0"/>
        </w:rPr>
        <w:t>Count 1 of the indictment charged defendant with 'Aggravated driving while intoxicated [w]ith a child' in violation of Vehicle and Traffic Law § 1192(2-a)(b). This statute prohibits operating a motor vehicle in violation of subdivision (2), (3), (4), or (4-a) of § 1192 while a child who is fifteen years of age or less is a passenger.</w:t>
      </w:r>
    </w:p>
    <w:p>
      <w:r>
        <w:rPr>
          <w:b w:val="0"/>
        </w:rPr>
        <w:t>Despite the grand jury evidence demonstrating that defendant was impaired by drugs, and the grand jury voting to indict based on that evidence, Count 1 of the indictment specifically alleged that defendant had violated 'subdivision [(2)] of section 1192,' which pertains to alcohol intoxication. Count 2, by contrast, correctly charged defendant with violating subdivision (4) for driving while ability impaired by drugs.</w:t>
      </w:r>
    </w:p>
    <w:p>
      <w:r>
        <w:rPr>
          <w:b w:val="0"/>
        </w:rPr>
        <w:t>After the close of evidence at trial, where the People consistently presented evidence of defendant's drug impairment, County Court, on the People's application, ordered the amendment of Count 1 to reflect that the reference to subdivision (2) was 'erroneous' and should have referenced subdivision (4).</w:t>
      </w:r>
    </w:p>
    <w:p>
      <w:r>
        <w:rPr>
          <w:b w:val="0"/>
        </w:rPr>
        <w:t>The Appellate Division, Third Department, affirmed the County Court's order, holding that the amendment 'correct[ed] an apparent clerical error, did not change the People's theory of the case as reflected in the evidence before the grand jury, and defendant has demonstrated no prejudice' (224 AD3d 1167, 1169 [3d Dept 2024]).</w:t>
      </w:r>
    </w:p>
    <w:p>
      <w:pPr>
        <w:pStyle w:val="Heading1"/>
      </w:pPr>
      <w:r>
        <w:t>Discussion</w:t>
      </w:r>
    </w:p>
    <w:p>
      <w:r>
        <w:rPr>
          <w:b w:val="0"/>
        </w:rPr>
        <w:t>The Court of Appeals' memorandum decision in People v. Hemingway addresses the permissible scope of amendments to indictments under New York Criminal Procedure Law § 200.70. The court affirmed the County Court's order granting the People's application to amend Count 1 of the indictment, establishing a clear framework for evaluating amendments that correct typographical errors.</w:t>
      </w:r>
    </w:p>
    <w:p>
      <w:r>
        <w:rPr>
          <w:b w:val="0"/>
        </w:rPr>
        <w:t>CPL 200.70(1) provides the statutory authority for amending an indictment. It permits amendments to correct 'defects, errors or variances from the proof relating to matters of form, time, place, names of persons and the like.' The Court of Appeals held that an amendment correcting a 'demonstrable typographical error' that 'align[s] with the evidence adduced in the grand jury' and does not 'change the People's theory of the case or otherwise prejudice the defendant' falls within this statutory authority.</w:t>
      </w:r>
    </w:p>
    <w:p>
      <w:r>
        <w:rPr>
          <w:b w:val="0"/>
        </w:rPr>
        <w:t>In applying this standard, the court implicitly established a three-part test for permissible typographical-error amendments. First, the error must be demonstrably typographical. Here, the erroneous reference to subdivision (2) (alcohol intoxication) in Count 1 was deemed a typographical error because the grand jury evidence and the People's consistent trial presentation focused on drug impairment, not alcohol. Second, the amendment must align with the grand jury evidence. The evidence before the grand jury demonstrated defendant's impairment by drugs, and the grand jury voted to indict based on that evidence, satisfying this requirement. Third, the amendment must not change the prosecution's theory of the case or prejudice the defendant. The People consistently presented evidence of drug impairment at trial, and defendant demonstrated no prejudice from the amendment.</w:t>
      </w:r>
    </w:p>
    <w:p>
      <w:r>
        <w:rPr>
          <w:b w:val="0"/>
        </w:rPr>
        <w:t>The court further noted that the amendment was not precluded by the constraints in CPL 200.70(2)(a) and (b). These subdivisions prevent amendments that would charge 'an additional or different offense' or 'change the theory of the prosecution as reported in the evidence before the grand jury.' The court concluded that the original indictment 'legally and factually alleged all of the elements of aggravated driving while intoxicated,' so the correction of the subdivision reference did not constitute a change in the offense charged.</w:t>
      </w:r>
    </w:p>
    <w:p>
      <w:r>
        <w:rPr>
          <w:b w:val="0"/>
        </w:rPr>
        <w:t>The court's holding is grounded in the policy rationale underlying CPL 200.70. Citing the Staff Comment to the 1967 Proposed NY CPL 100.60 and People v. Perez, 83 NY2d 269, 275 (1994), the court emphasized that the statute aims to 'avoid[ing] technical objections not affecting a substantial right of the defendant.' This policy favors resolving cases on their merits rather than dismissing charges due to clerical mistakes in pleadings.</w:t>
      </w:r>
    </w:p>
    <w:p>
      <w:r>
        <w:rPr>
          <w:b w:val="0"/>
        </w:rPr>
        <w:t>The Appellate Division's reasoning, affirmed by the Court of Appeals, provides additional guidance. In its decision at 224 AD3d 1167, 1169 (3d Dept 2024), the Appellate Division characterized the amendment as correcting 'an apparent clerical error' that 'did not change the People's theory of the case as reflected in the evidence before the grand jury, and defendant has demonstrated no prejudice.' This language underscores that the error's clerical nature and the absence of prejudice are central to the analysis.</w:t>
      </w:r>
    </w:p>
    <w:p>
      <w:r>
        <w:rPr>
          <w:b w:val="0"/>
        </w:rPr>
        <w:t>For defense attorneys, this ruling establishes that challenges to indictment amendments correcting subdivision references will face a high bar. To succeed, a defendant would need to demonstrate that the error was not merely typographical, that the amendment alters the prosecution's theory, or that the amendment results in actual prejudice. Mismatched subdivision references alone, where the grand jury evidence and trial presentation consistently support the corrected charge, are unlikely to invalidate an indictment amendment.</w:t>
      </w:r>
    </w:p>
    <w:p>
      <w:pPr>
        <w:pStyle w:val="Heading1"/>
      </w:pPr>
      <w:r>
        <w:t>Conclusion</w:t>
      </w:r>
    </w:p>
    <w:p>
      <w:r>
        <w:rPr>
          <w:b w:val="0"/>
        </w:rPr>
        <w:t>The Court of Appeals affirmed the order of the Appellate Division, holding that County Court did not err in ordering the amendment of Count 1 of the indictment pursuant to CPL 200.70(1). The court determined that the erroneous reference to Vehicle and Traffic Law § 1192(2) was a demonstrable typographical error, that the amendment aligned with the grand jury evidence, and that the amendment did not change the People's theory of the case or prejudice the defendant.</w:t>
      </w:r>
    </w:p>
    <w:p>
      <w:r>
        <w:rPr>
          <w:b w:val="0"/>
        </w:rPr>
        <w:t>This decision clarifies that amendments correcting typographical errors in indictments are permissible under CPL 200.70(1) when they align with the grand jury evidence and do not prejudice the defendant. Defense attorneys challenging such amendments must demonstrate more than a mere clerical error; they must show that the amendment alters the prosecution's theory or results in actual prejudice. Given the court's emphasis on avoiding technical objections that do not affect substantial rights, challenges to similar amendments will likely face a high 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