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Investment Memorandum - Caterpillar Inc. (NYSE: CAT)</w:t>
      </w:r>
    </w:p>
    <w:p>
      <w:r>
        <w:rPr>
          <w:b/>
        </w:rPr>
        <w:t>TO:</w:t>
        <w:tab/>
      </w:r>
      <w:r>
        <w:t>Investment Committee</w:t>
      </w:r>
    </w:p>
    <w:p>
      <w:r>
        <w:rPr>
          <w:b/>
        </w:rPr>
        <w:t>FROM:</w:t>
        <w:tab/>
      </w:r>
      <w:r>
        <w:t>Senior Associate, Private Equity</w:t>
      </w:r>
    </w:p>
    <w:p>
      <w:r>
        <w:rPr>
          <w:b/>
        </w:rPr>
        <w:t>DATE:</w:t>
        <w:tab/>
      </w:r>
      <w:r>
        <w:t>Current</w:t>
      </w:r>
    </w:p>
    <w:p>
      <w:r>
        <w:rPr>
          <w:b/>
        </w:rPr>
        <w:t>RE:</w:t>
        <w:tab/>
      </w:r>
      <w:r>
        <w:t>Investment Memorandum - Caterpillar Inc. (NYSE: CAT) - Preliminary LBO Assessment</w:t>
      </w:r>
    </w:p>
    <w:p>
      <w:r>
        <w:t>________________________________________________________________________________</w:t>
      </w:r>
    </w:p>
    <w:p>
      <w:pPr>
        <w:pStyle w:val="Heading1"/>
      </w:pPr>
      <w:r>
        <w:t>Executive Summary</w:t>
      </w:r>
    </w:p>
    <w:p>
      <w:r>
        <w:rPr>
          <w:b w:val="0"/>
        </w:rPr>
        <w:t>Caterpillar Inc. (NYSE: CAT), classified in the industrials sector with CIK 0000018230, presents as a potential leveraged buyout candidate based on preliminary analysis of its recent financial performance. The company generated FY 2025 revenues of $67.589 billion and reported Q1 2026 revenues of $17.415 billion, indicating continued robust demand for its construction and mining equipment. With FY 2025 operating income of $11.151 billion and Q1 2026 operating income of $3.085 billion, the company demonstrates strong cash flow generation capability that could support significant acquisition leverage.</w:t>
      </w:r>
    </w:p>
    <w:p>
      <w:r>
        <w:rPr>
          <w:b w:val="0"/>
        </w:rPr>
        <w:t>The company's Q1 2026 diluted earnings per share of $5.47, compared to FY 2025 EPS of $18.81, suggests stable profitability. Caterpillar's total assets of $95.550 billion as of Q1 2026 against total liabilities of $76.890 billion provide substantial collateral coverage. The cash position decreased from $9.980 billion at FY 2025 to $4.072 billion in Q1 2026, which warrants further investigation but does not fundamentally impair the LBO thesis.</w:t>
      </w:r>
    </w:p>
    <w:p>
      <w:r>
        <w:rPr>
          <w:b w:val="0"/>
        </w:rPr>
        <w:t>Based on this preliminary analysis, we recommend advancing Caterpillar to detailed due diligence. The company's scale, market leadership, and demonstrated operating margins (approximately 17.7% in Q1 2026 based on operating income/revenue) provide a foundation for a viable LBO, though the high existing leverage ratio (approximately 4.1x liabilities-to-equity) requires careful structuring of acquisition financing.</w:t>
      </w:r>
    </w:p>
    <w:p>
      <w:pPr>
        <w:pStyle w:val="Heading1"/>
      </w:pPr>
      <w:r>
        <w:t>Company Overview</w:t>
      </w:r>
    </w:p>
    <w:p>
      <w:r>
        <w:rPr>
          <w:b w:val="0"/>
        </w:rPr>
        <w:t>Caterpillar Inc. is a leading manufacturer of construction and mining equipment, with ticker symbol CAT on the NYSE and SEC CIK number 0000018230. The company operates in the industrials sector, serving global markets with heavy machinery and related services. Based on the financial data provided, Caterpillar represents one of the largest industrial companies globally, with FY 2025 revenues of $67.589 billion.</w:t>
      </w:r>
    </w:p>
    <w:p>
      <w:r>
        <w:rPr>
          <w:b w:val="0"/>
        </w:rPr>
        <w:t>The company's asset base totaled $95.550 billion as of Q1 2026, reflecting substantial investments in manufacturing facilities, equipment, and working capital. This scale positions Caterpillar as a significant player in its industry, with the financial capacity to generate consistent operating cash flows. The Q3 2025 revenue figure of $48.456 billion for the first nine months of 2025 further confirms the company's revenue stability across quarters.</w:t>
      </w:r>
    </w:p>
    <w:p>
      <w:r>
        <w:rPr>
          <w:b w:val="0"/>
        </w:rPr>
        <w:t>Research and development spending of $537 million in Q1 2026 and $2.148 billion for FY 2025 indicates ongoing investment in product innovation, which is critical for maintaining competitive advantage in capital-intensive industries. Similarly, selling, general and administrative expenses of $1.816 billion in Q1 2026 demonstrate the company's operational infrastructure to support its global distribution network.</w:t>
      </w:r>
    </w:p>
    <w:p>
      <w:pPr>
        <w:pStyle w:val="Heading1"/>
      </w:pPr>
      <w:r>
        <w:t>Financial Performance Analysis</w:t>
      </w:r>
    </w:p>
    <w:p>
      <w:r>
        <w:rPr>
          <w:b w:val="0"/>
        </w:rPr>
        <w:t>Caterpillar's revenue performance demonstrates consistent scale, with FY 2025 revenues of $67.589 billion and Q1 2026 revenues of $17.415 billion. When annualized, the Q1 2026 figure suggests full-year revenues of approximately $69.7 billion, indicating modest growth. The Q3 2025 cumulative revenue of $48.456 billion for the first nine months of 2025 further confirms the company's revenue stability.</w:t>
      </w:r>
    </w:p>
    <w:p>
      <w:r>
        <w:rPr>
          <w:b w:val="0"/>
        </w:rPr>
        <w:t>Operating income showed strong performance with $11.151 billion for FY 2025 and $3.085 billion in Q1 2026. Calculating operating margin: FY 2025 operating margin was approximately 16.5% ($11.151B / $67.589B), while Q1 2026 operating margin improved to approximately 17.7% ($3.085B / $17.415B). This margin expansion suggests improving operational efficiency and pricing power in recent quarters.</w:t>
      </w:r>
    </w:p>
    <w:p>
      <w:r>
        <w:rPr>
          <w:b w:val="0"/>
        </w:rPr>
        <w:t>Diluted earnings per share of $5.47 in Q1 2026 compared to $18.81 for FY 2025 indicates stable profitability on a per-share basis. The Q1 2026 EPS, when annualized, suggests approximately $21.88 annually, which would represent a 16.3% increase over FY 2025 levels, indicating positive earnings momentum.</w:t>
      </w:r>
    </w:p>
    <w:p>
      <w:r>
        <w:rPr>
          <w:b w:val="0"/>
        </w:rPr>
        <w:t>Research and development expenses of $537 million in Q1 2026 (3.1% of Q1 2026 revenue) and $2.148 billion for FY 2025 (3.2% of FY 2025 revenue) demonstrate consistent investment in innovation. Selling, general and administrative expenses of $1.816 billion in Q1 2026 and $6.985 billion for FY 2025 represent 10.4% and 10.3% of respective revenues, indicating controlled overhead spending.</w:t>
      </w:r>
    </w:p>
    <w:p>
      <w:r>
        <w:rPr>
          <w:b w:val="0"/>
        </w:rPr>
        <w:t>Historical gross profit data shows $3.269 billion for FY 2020 (the highest among the provided figures), with additional FY 2020 gross profit figures of $2.786 billion, $2.648 billion, $2.309 billion, and $2.197 billion representing different measurement periods or segment results. This historical context provides baseline profitability data for trend analysis.</w:t>
      </w:r>
    </w:p>
    <w:p>
      <w:pPr>
        <w:pStyle w:val="Heading1"/>
      </w:pPr>
      <w:r>
        <w:t>Balance Sheet and Capital Structure</w:t>
      </w:r>
    </w:p>
    <w:p>
      <w:r>
        <w:rPr>
          <w:b w:val="0"/>
        </w:rPr>
        <w:t>Caterpillar's balance sheet shows total assets of $95.550 billion as of Q1 2026 compared to $98.585 billion at FY 2025, representing a 3.1% decrease. Total liabilities were $76.890 billion in Q1 2026 versus $77.267 billion at FY 2025, a modest reduction of 0.5%. This suggests some deleveraging or asset adjustments in the most recent quarter.</w:t>
      </w:r>
    </w:p>
    <w:p>
      <w:r>
        <w:rPr>
          <w:b w:val="0"/>
        </w:rPr>
        <w:t>Cash and cash equivalents experienced a significant reduction from $9.980 billion at FY 2025 to $4.072 billion in Q1 2026, a decrease of $5.908 billion or 59.2%. This substantial cash reduction warrants investigation into whether it reflects debt repayment, dividend payments, share buybacks, or seasonal working capital requirements. The Q3 2025 cash balance of $7.538 billion provides additional context for cash flow patterns.</w:t>
      </w:r>
    </w:p>
    <w:p>
      <w:r>
        <w:rPr>
          <w:b w:val="0"/>
        </w:rPr>
        <w:t>The liabilities-to-equity ratio (approximated as Liabilities / (Assets - Liabilities)) for Q1 2026 is approximately 4.1x ($76.890B / ($95.550B - $76.890B) = $76.890B / $18.660B). This indicates significant existing leverage, which would need to be carefully considered in structuring acquisition debt. For FY 2025, the ratio was approximately 3.6x ($77.267B / $21.318B), suggesting leverage has increased in Q1 2026.</w:t>
      </w:r>
    </w:p>
    <w:p>
      <w:r>
        <w:rPr>
          <w:b w:val="0"/>
        </w:rPr>
        <w:t>For an LBO feasibility assessment, the company's substantial asset base of $95.550 billion could support significant acquisition financing through asset-based lending. However, the existing leverage of 4.1x liabilities-to-equity indicates the company already utilizes debt substantially, which may limit incremental borrowing capacity for an acquisition. The net equity position of approximately $18.66 billion as of Q1 2026 represents the residual value available to equity investors after satisfying existing obligations.</w:t>
      </w:r>
    </w:p>
    <w:p>
      <w:pPr>
        <w:pStyle w:val="Heading1"/>
      </w:pPr>
      <w:r>
        <w:t>LBO Feasibility Assessment</w:t>
      </w:r>
    </w:p>
    <w:p>
      <w:r>
        <w:rPr>
          <w:b w:val="0"/>
        </w:rPr>
        <w:t>Using operating income as a cash flow proxy, Caterpillar generated $3.085 billion in Q1 2026 and $11.151 billion for FY 2025. This level of cash generation provides substantial coverage for debt service, assuming acquisition financing could be structured with interest rates in the range of 6-8%. At 7% interest, the FY 2025 operating income alone could theoretically service approximately $159 billion of debt, though practical limits would be much lower based on coverage ratio requirements.</w:t>
      </w:r>
    </w:p>
    <w:p>
      <w:r>
        <w:rPr>
          <w:b w:val="0"/>
        </w:rPr>
        <w:t>The company's asset base of $95.550 billion provides collateral for acquisition financing. Asset-based lenders might advance 50-60% against this collateral base, suggesting potential incremental financing of $47.8-57.3 billion. However, this must be considered alongside existing liabilities of $76.890 billion, which already represent a significant claim on these assets.</w:t>
      </w:r>
    </w:p>
    <w:p>
      <w:r>
        <w:rPr>
          <w:b w:val="0"/>
        </w:rPr>
        <w:t>Key risks to the LBO thesis include: (1) the high existing leverage ratio of 4.1x liabilities-to-equity limits incremental borrowing capacity; (2) the significant cash reduction from $9.98B to $4.07B between FY 2025 and Q1 2026 may indicate cash flow volatility; (3) the cyclical nature of industrial equipment demand creates revenue uncertainty; and (4) the need for continued R&amp;D investment ($537M quarterly) constrains cash available for debt service.</w:t>
      </w:r>
    </w:p>
    <w:p>
      <w:r>
        <w:rPr>
          <w:b w:val="0"/>
        </w:rPr>
        <w:t>Preliminary assessment suggests that while Caterpillar's cash flow generation supports a leveraged acquisition, the existing capital structure already incorporates substantial leverage. An LBO would likely require careful debt layering, potentially involving senior secured notes backed by assets, with mezzanine financing to bridge any equity gap. The target leverage multiple would need to be significantly below 4.1x additional debt-to-equity to maintain financial flexibility.</w:t>
      </w:r>
    </w:p>
    <w:p>
      <w:pPr>
        <w:pStyle w:val="Heading1"/>
      </w:pPr>
      <w:r>
        <w:t>Key Risks and Mitigants</w:t>
      </w:r>
    </w:p>
    <w:p>
      <w:r>
        <w:rPr>
          <w:b w:val="0"/>
        </w:rPr>
        <w:t>1. High Existing Leverage: Caterpillar's liabilities-to-equity ratio of 4.1x as of Q1 2026 indicates the company already operates with significant financial leverage. This limits incremental borrowing capacity for an LBO and increases financial risk during economic downturns. Mitigant: Strong operating cash flows of $11.151 billion annually provide substantial debt service capacity.</w:t>
      </w:r>
    </w:p>
    <w:p>
      <w:r>
        <w:rPr>
          <w:b w:val="0"/>
        </w:rPr>
        <w:t>2. Cash Flow Volatility: The 59.2% reduction in cash from $9.980 billion to $4.072 billion between FY 2025 and Q1 2026 suggests potential volatility in cash generation or significant capital allocation decisions. This could indicate vulnerability to working capital swings or large discretionary payments. Mitigant: The company maintained positive operating income of $3.085 billion in Q1 2026, indicating underlying operational cash generation.</w:t>
      </w:r>
    </w:p>
    <w:p>
      <w:r>
        <w:rPr>
          <w:b w:val="0"/>
        </w:rPr>
        <w:t>3. Cyclical Business Exposure: As an industrials sector company, Caterpillar is exposed to economic cycles that affect construction and mining activity. Revenue declines during recessions could impair debt service capacity. Mitigant: The company's diversified geographic presence and product portfolio may provide some cyclical cushioning.</w:t>
      </w:r>
    </w:p>
    <w:p>
      <w:r>
        <w:rPr>
          <w:b w:val="0"/>
        </w:rPr>
        <w:t>4. Capital Intensity: With $95.550 billion in assets and continuous R&amp;D spending of $537 million quarterly, Caterpillar requires substantial capital reinvestment. This reduces free cash flow available for debt repayment in an LBO scenario. Mitigant: The asset base itself provides collateral value for financing.</w:t>
      </w:r>
    </w:p>
    <w:p>
      <w:r>
        <w:rPr>
          <w:b w:val="0"/>
        </w:rPr>
        <w:t>5. Margin Pressure Risk: While operating margins have been healthy at 16.5-17.7%, competitive pressures or input cost inflation could compress margins, reducing cash flow available for debt service. Mitigant: The company's market position and scale may provide pricing power to maintain margins.</w:t>
      </w:r>
    </w:p>
    <w:p/>
    <w:p>
      <w:r>
        <w:t>Prepared by Senior Associate, Private Equity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