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TO:</w:t>
        <w:tab/>
      </w:r>
      <w:r>
        <w:t>[Partner Name]</w:t>
      </w:r>
    </w:p>
    <w:p>
      <w:r>
        <w:rPr>
          <w:b/>
        </w:rPr>
        <w:t>FROM:</w:t>
        <w:tab/>
      </w:r>
      <w:r>
        <w:t>[Senior Associate Name]</w:t>
      </w:r>
    </w:p>
    <w:p>
      <w:r>
        <w:rPr>
          <w:b/>
        </w:rPr>
        <w:t>DATE:</w:t>
        <w:tab/>
      </w:r>
      <w:r>
        <w:t>[Current Date]</w:t>
      </w:r>
    </w:p>
    <w:p>
      <w:r>
        <w:rPr>
          <w:b/>
        </w:rPr>
        <w:t>RE:</w:t>
        <w:tab/>
      </w:r>
      <w:r>
        <w:t>Viability of As-Applied Second Amendment Challenge to 18 U.S.C. § 922(g)(1) for Client with Drug-Trafficking Convictions — Analysis Based on United States v. Kimble, 142 F.4th 308 (5th Cir. 2025)</w:t>
      </w:r>
    </w:p>
    <w:p>
      <w:r>
        <w:t>________________________________________________________________________________</w:t>
      </w:r>
    </w:p>
    <w:p>
      <w:pPr>
        <w:pStyle w:val="Heading1"/>
      </w:pPr>
      <w:r>
        <w:t>MEMORANDUM</w:t>
      </w:r>
    </w:p>
    <w:p>
      <w:r>
        <w:rPr>
          <w:b w:val="0"/>
        </w:rPr>
        <w:t>MEMORANDUM</w:t>
      </w:r>
    </w:p>
    <w:p>
      <w:r>
        <w:rPr>
          <w:b w:val="0"/>
        </w:rPr>
        <w:t>To: [Partner Name]</w:t>
      </w:r>
    </w:p>
    <w:p>
      <w:r>
        <w:rPr>
          <w:b w:val="0"/>
        </w:rPr>
        <w:t>From: [Senior Associate Name]</w:t>
      </w:r>
    </w:p>
    <w:p>
      <w:r>
        <w:rPr>
          <w:b w:val="0"/>
        </w:rPr>
        <w:t>Date: [Current Date]</w:t>
      </w:r>
    </w:p>
    <w:p>
      <w:r>
        <w:rPr>
          <w:b w:val="0"/>
        </w:rPr>
        <w:t>Re: Viability of As-Applied Second Amendment Challenge to 18 U.S.C. § 922(g)(1) for Client with Drug-Trafficking Convictions — Analysis Based on United States v. Kimble, 142 F.4th 308 (5th Cir. 2025)</w:t>
      </w:r>
    </w:p>
    <w:p>
      <w:pPr>
        <w:pStyle w:val="Heading2"/>
      </w:pPr>
      <w:r>
        <w:t>I. Question Presented</w:t>
      </w:r>
    </w:p>
    <w:p>
      <w:r>
        <w:rPr>
          <w:b w:val="0"/>
        </w:rPr>
        <w:t>Whether a person convicted of two drug-trafficking felonies—one state-level conviction for manufacturing or delivering a controlled substance and one federal conviction for possession with intent to distribute cocaine—can mount a viable as-applied challenge to the constitutionality of 18 U.S.C. § 922(g)(1) under the Second Amendment, as interpreted by New York State Rifle &amp; Pistol Ass'n v. Bruen, 597 U.S. 1 (2022), and United States v. Rahimi, 602 U.S. 680 (2024), in light of the Fifth Circuit's analysis in United States v. Kimble, 142 F.4th 308 (5th Cir. 2025).</w:t>
      </w:r>
    </w:p>
    <w:p>
      <w:pPr>
        <w:pStyle w:val="Heading2"/>
      </w:pPr>
      <w:r>
        <w:t>II. Short Answer</w:t>
      </w:r>
    </w:p>
    <w:p>
      <w:r>
        <w:rPr>
          <w:b w:val="0"/>
        </w:rPr>
        <w:t>The challenge is unlikely to succeed. Under the framework established in United States v. Diaz, 116 F.4th 458 (5th Cir. 2024), and applied in Kimble, the government must demonstrate that disarming persons with a criminal history analogous to the challenger's accords with the nation's historical tradition of firearm regulation. While Kimble did not squarely address whether drug-trafficking convictions fall within the three categories the Fifth Circuit has recognized as sufficient—theft, violence, and possessing arms while on parole—the court's reasoning suggests that the government has strong arguments for analogizing drug trafficking to historically disarmed categories, particularly given the serious and dangerous nature of drug-trafficking offenses. However, the case is not entirely foreclosed because the Fifth Circuit has explicitly permitted as-applied challenges and has not categorically held that all drug-trafficking convictions justify lifelong disarmament. The viability of the challenge depends on whether the government can identify sufficient historical analogues for disarming individuals convicted of non-violent drug offenses.</w:t>
      </w:r>
    </w:p>
    <w:p>
      <w:pPr>
        <w:pStyle w:val="Heading2"/>
      </w:pPr>
      <w:r>
        <w:t>III. Statement of Facts from United States v. Kimble</w:t>
      </w:r>
    </w:p>
    <w:p>
      <w:r>
        <w:rPr>
          <w:b w:val="0"/>
        </w:rPr>
        <w:t>Sidney Kimble was convicted of two drug-trafficking felonies. First, he pleaded nolo contendere to a state-level charge of manufacturing or delivering a controlled substance after officers found him carrying crack cocaine, marihuana, yellow pills of an unidentified substance, and over $1,000 in cash. He was sentenced to six years' confinement but served only one year. His parole term expired on January 5, 2018.</w:t>
      </w:r>
    </w:p>
    <w:p>
      <w:r>
        <w:rPr>
          <w:b w:val="0"/>
        </w:rPr>
        <w:t>In 2015, Kimble sold a confidential informant approximately 139 grams of crack cocaine. He pleaded guilty to a federal felony: possession with intent to distribute a detectable quantity of cocaine. He was sentenced to 18 months in prison followed by four years of supervised release. He was released early in July 2016, at which point his supervised release commenced. After violating his release terms by cheating on a drug test, he was re-imprisoned for 12 months beginning January 1, 2018. The remand order stated that upon his release, 'no supervised release [would] follow.' He was again released early on July 6, 2018.</w:t>
      </w:r>
    </w:p>
    <w:p>
      <w:r>
        <w:rPr>
          <w:b w:val="0"/>
        </w:rPr>
        <w:t>On July 16, 2021, law enforcement agents attempted to stop Kimble for outstanding warrants for possession of a controlled substance and being a felon in possession of a firearm. As Kimble fled, officers observed him discard a handgun from his waistband. He was arrested and charged with violating 18 U.S.C. § 922(g)(1).</w:t>
      </w:r>
    </w:p>
    <w:p>
      <w:r>
        <w:rPr>
          <w:b w:val="0"/>
        </w:rPr>
        <w:t>Kimble moved to dismiss the indictment in March 2023, arguing that § 922(g)(1) was unconstitutional both facially and as applied to him in light of New York State Rifle &amp; Pistol Ass'n v. Bruen, 597 U.S. 1 (2022). The district court denied the motion, concluding that Bruen did not overrule binding Fifth Circuit precedent. Kimble then pleaded guilty without a plea agreement. The district court accepted the plea in August 2023 and agreed that Kimble had not waived his right to appeal the constitutionality of § 922(g)(1) in light of Bruen.</w:t>
      </w:r>
    </w:p>
    <w:p>
      <w:pPr>
        <w:pStyle w:val="Heading2"/>
      </w:pPr>
      <w:r>
        <w:t>IV. Discussion</w:t>
      </w:r>
    </w:p>
    <w:p>
      <w:pPr>
        <w:pStyle w:val="Heading3"/>
      </w:pPr>
      <w:r>
        <w:t>A. The Bruen Two-Step Framework</w:t>
      </w:r>
    </w:p>
    <w:p>
      <w:r>
        <w:rPr>
          <w:b w:val="0"/>
        </w:rPr>
        <w:t>The Second Amendment guarantees 'the right of the people to keep and bear Arms.' U.S. Const. amend. II. In District of Columbia v. Heller, 554 U.S. 570, 635 (2008), the Supreme Court recognized this as a pre-existing, individual right 'to use arms in defense of hearth and home,' though it noted the right 'is not unlimited.' Id. at 626. The Court observed that 'longstanding prohibitions on the possession of firearms by felons and the mentally ill,' among others, are 'presumptively lawful.' Id. at 626–27 &amp; n.26.</w:t>
      </w:r>
    </w:p>
    <w:p>
      <w:r>
        <w:rPr>
          <w:b w:val="0"/>
        </w:rPr>
        <w:t>In New York State Rifle &amp; Pistol Ass'n v. Bruen, 597 U.S. 1 (2022), the Supreme Court established a two-step framework for Second Amendment challenges. First, a court asks whether the Second Amendment's plain text covers the conduct the government seeks to regulate; if so, the Constitution presumptively protects that conduct. Id. at 24. Second, if the individual's actions are covered by the text, 'the government must then justify its regulation by demonstrating that it is consistent with the Nation's historical tradition of firearm regulation.' Id. Only if the government meets this burden 'may a court conclude that the individual's conduct falls outside the Second Amendment's unqualified command.' Id. (quotation omitted).</w:t>
      </w:r>
    </w:p>
    <w:p>
      <w:r>
        <w:rPr>
          <w:b w:val="0"/>
        </w:rPr>
        <w:t>The Supreme Court reaffirmed this framework in United States v. Rahimi, 602 U.S. 680 (2024), clarifying that the government need not identify a 'historical twin' to justify a modern-day regulation. Multiple historical analogues '[t]aken together' can demonstrate that a modern regulation has a sufficiently analogous 'why' and 'how' to historical firearms restrictions. Id. at 698–99.</w:t>
      </w:r>
    </w:p>
    <w:p>
      <w:r>
        <w:rPr>
          <w:b w:val="0"/>
        </w:rPr>
        <w:t>Applying this framework in United States v. Kimble, 142 F.4th 308 (5th Cir. 2025), the Fifth Circuit first confirmed that '[t]he plain text of the Second Amendment covers the conduct prohibited by § 922(g)(1).' Id. at 312 (quoting United States v. Diaz, 116 F.4th 458, 467 (5th Cir. 2024)). This is because convicted felons are 'unequivocally among "the people" protected by the Second Amendment.' United States v. Schnur, 132 F.4th 863, 867 (5th Cir. 2025). Thus, the government bears the burden of showing that disarming an individual based on felon status is 'consistent with the Nation's historical tradition.' Id.</w:t>
      </w:r>
    </w:p>
    <w:p>
      <w:pPr>
        <w:pStyle w:val="Heading3"/>
      </w:pPr>
      <w:r>
        <w:t>B. The Government's Burden Under the Historical-Tradition Prong</w:t>
      </w:r>
    </w:p>
    <w:p>
      <w:r>
        <w:rPr>
          <w:b w:val="0"/>
        </w:rPr>
        <w:t>Under the Bruen framework as applied in Kimble, the government must demonstrate that the nation has a tradition of disarming someone with a criminal history analogous to the challenger's. United States v. Kimble, 142 F.4th at 312 (citing United States v. Diaz, 116 F.4th 458, 467 (5th Cir. 2024)). The Fifth Circuit's post-Bruen framework for assessing § 922(g)(1) convictions was first articulated in Diaz, where the court recognized that Bruen abrogated prior precedents upholding § 922(g)(1) in all its applications. Id. at 311.</w:t>
      </w:r>
    </w:p>
    <w:p>
      <w:r>
        <w:rPr>
          <w:b w:val="0"/>
        </w:rPr>
        <w:t>Importantly, the Fifth Circuit no longer rejects Second Amendment challenges to § 922(g)(1) categorically, instead permitting 'as-applied challenges by defendants with different predicate convictions.' Id. at 311 (quoting Diaz, 116 F.4th at 470 n.4). This means that the analysis turns on the specific nature of the defendant's criminal history and whether historical analogues exist for disarming persons with that particular type of conviction.</w:t>
      </w:r>
    </w:p>
    <w:p>
      <w:r>
        <w:rPr>
          <w:b w:val="0"/>
        </w:rPr>
        <w:t>As the Supreme Court clarified in Rahimi, the government need not produce a 'historical twin' but may rely on multiple historical analogues '[t]aken together' to satisfy the Bruen test. United States v. Rahimi, 602 U.S. 680, 698–99 (2024). This principle was acknowledged by the Fifth Circuit in Kimble, providing the government with flexibility in marshaling historical evidence. 142 F.4th at 310 n.3.</w:t>
      </w:r>
    </w:p>
    <w:p>
      <w:pPr>
        <w:pStyle w:val="Heading3"/>
      </w:pPr>
      <w:r>
        <w:t>C. The Three Categories of Offenses Identified in Kimble</w:t>
      </w:r>
    </w:p>
    <w:p>
      <w:r>
        <w:rPr>
          <w:b w:val="0"/>
        </w:rPr>
        <w:t>In Kimble, the Fifth Circuit identified three categories of offenses that have been held to support the constitutionality of § 922(g)(1) under the historical-tradition prong. 142 F.4th at 311–12. Each provides a potential avenue for the government to argue that disarming drug traffickers accords with history and tradition.</w:t>
      </w:r>
    </w:p>
    <w:p>
      <w:r>
        <w:rPr>
          <w:b w:val="0"/>
        </w:rPr>
        <w:t>First, in United States v. Diaz, 116 F.4th 458 (5th Cir. 2024), the court considered a defendant convicted of vehicle theft. The court held that Founding-era analogues to Diaz's predicate felony, such as horse theft, were subject to the death penalty, demonstrating that 'our country has a historical tradition of severely punishing people like Diaz who have been convicted of theft.' Id. at 468–69. Therefore, the lesser punishment of lifelong disarmament imposed by § 922(g)(1) accorded with the Second Amendment. Id. at 469–70.</w:t>
      </w:r>
    </w:p>
    <w:p>
      <w:r>
        <w:rPr>
          <w:b w:val="0"/>
        </w:rPr>
        <w:t>Second, in United States v. Schnur, 132 F.4th 863 (5th Cir. 2025), the court upheld a § 922(g)(1) conviction against a defendant whose predicate felonies included 'aggravated battery causing great bodily injury.' The court found 'historical analogues demonstrating our Nation's longstanding tradition of disarming persons with a violent criminal history analogous to Schnur's.' Id. at 869.</w:t>
      </w:r>
    </w:p>
    <w:p>
      <w:r>
        <w:rPr>
          <w:b w:val="0"/>
        </w:rPr>
        <w:t>Third, in United States v. Bullock, 123 F.4th 183 (5th Cir. 2024), the court addressed a defendant who possessed arms while on parole, violating the terms of his release. Kimble cited Bullock as an example of a recognized category. 142 F.4th at 311–12.</w:t>
      </w:r>
    </w:p>
    <w:p>
      <w:r>
        <w:rPr>
          <w:b w:val="0"/>
        </w:rPr>
        <w:t>Notably, Kimble's own case involved a supervised-release violation—he was re-imprisoned after cheating on a drug test. 142 F.4th at 310. While the opinion does not explicitly state that this violation was the basis for upholding his conviction, it is possible that the government relied on the Bullock category as one ground. However, the court's broader statement that 'disarming drug traffickers accords with the nation's history and tradition of firearm regulation' suggests the holding rests on a more general principle. Id. at 309.</w:t>
      </w:r>
    </w:p>
    <w:p>
      <w:r>
        <w:rPr>
          <w:b w:val="0"/>
        </w:rPr>
        <w:t>For our client, Marcus Reed, the question is whether his drug-trafficking convictions—analogous to Kimble's—fit within one of these recognized categories. Drug trafficking is not theft, nor is it inherently violent in the way Schnur's aggravated battery was. However, drug trafficking has historically been treated as a serious offense warranting significant punishment, and the government may argue by analogy that disarming drug traffickers is consistent with the tradition of disarming those convicted of serious crimes. The viability of this argument depends on the historical record the government can assemble.</w:t>
      </w:r>
    </w:p>
    <w:p>
      <w:pPr>
        <w:pStyle w:val="Heading3"/>
      </w:pPr>
      <w:r>
        <w:t>D. Kimble's Specific Factual History and Its Significance</w:t>
      </w:r>
    </w:p>
    <w:p>
      <w:r>
        <w:rPr>
          <w:b w:val="0"/>
        </w:rPr>
        <w:t>Kimble's factual history is significant for several reasons. He had two separate drug-trafficking convictions: a state-level nolo contendere plea for manufacturing or delivering a controlled substance, and a federal guilty plea for possession with intent to distribute cocaine. 142 F.4th at 309–10. His state conviction carried a six-year sentence, though he served only one year; his federal sentence was 18 months plus four years of supervised release. Id.</w:t>
      </w:r>
    </w:p>
    <w:p>
      <w:r>
        <w:rPr>
          <w:b w:val="0"/>
        </w:rPr>
        <w:t>Critically, Kimble violated his supervised release by cheating on a drug test, leading to re-imprisonment for 12 months. Id. at 310. The remand order specified that no supervised release would follow his re-release. Id. This violation connects Kimble to the third category recognized in Bullock—possession of arms while on parole—though Kimble's violation was for cheating on a drug test rather than possessing arms.</w:t>
      </w:r>
    </w:p>
    <w:p>
      <w:r>
        <w:rPr>
          <w:b w:val="0"/>
        </w:rPr>
        <w:t>Kimble's arrest on July 16, 2021, occurred when officers attempted to stop him for outstanding warrants for possession of a controlled substance and being a felon in possession of a firearm. 142 F.4th at 310. During the stop, officers observed him discard a handgun from his waistband. Id. This conduct is directly analogous to what § 922(g)(1) prohibits.</w:t>
      </w:r>
    </w:p>
    <w:p>
      <w:r>
        <w:rPr>
          <w:b w:val="0"/>
        </w:rPr>
        <w:t>Procedurally, Kimble moved to dismiss the indictment in March 2023, arguing that § 922(g)(1) was unconstitutional under Bruen. The district court denied the motion, holding that Bruen did not overrule binding Fifth Circuit precedent. Id. Kimble then pleaded guilty without a plea agreement, and the district court accepted the plea in August 2023, explicitly agreeing that Kimble preserved his right to appeal the constitutionality of § 922(g)(1) in light of Bruen. Id. at 310. This procedural posture is important: it demonstrates that the constitutionality of § 922(g)(1) was properly preserved for appellate review despite the guilty plea.</w:t>
      </w:r>
    </w:p>
    <w:p>
      <w:pPr>
        <w:pStyle w:val="Heading3"/>
      </w:pPr>
      <w:r>
        <w:t>E. Strength of the Government's Historical-Tradition Argument for Disarming Drug Traffickers</w:t>
      </w:r>
    </w:p>
    <w:p>
      <w:r>
        <w:rPr>
          <w:b w:val="0"/>
        </w:rPr>
        <w:t>The Fifth Circuit's statement in Kimble that 'disarming drug traffickers accords with the nation's history and tradition of firearm regulation' is significant but requires careful parsing. 142 F.4th at 309. The court did not elaborate extensively on the historical analogues supporting this conclusion, focusing instead on applying the framework to Kimble's specific facts. The opinion's structure—analyzing Kimble's case under the general framework without a detailed historical survey—leaves open the question of exactly which historical traditions support disarming drug traffickers.</w:t>
      </w:r>
    </w:p>
    <w:p>
      <w:r>
        <w:rPr>
          <w:b w:val="0"/>
        </w:rPr>
        <w:t>Arguments favoring the government include the seriousness of drug-trafficking offenses. Drug trafficking is a grave criminal enterprise that fuels violence, corruption, and social harm. Historically, the government may argue, societies have disarmed individuals convicted of serious crimes, and drug trafficking should be analogized to those offenses. The Fifth Circuit's willingness to recognize theft (Diaz), violence (Schnur), and parole violations (Bullock) as sufficient categories suggests a flexible approach that could encompass drug trafficking.</w:t>
      </w:r>
    </w:p>
    <w:p>
      <w:r>
        <w:rPr>
          <w:b w:val="0"/>
        </w:rPr>
        <w:t>However, arguments favoring the defendant exist. Drug trafficking is a regulatory offense that did not exist at the Founding. Unlike horse theft (which was subject to the death penalty) or aggravated battery (which is inherently violent), drug trafficking is not a traditional common-law crime. The defendant could argue that the historical record lacks sufficiently analogous precedents for disarming individuals convicted of non-violent regulatory offenses. Moreover, § 922(g)(1) imposes lifelong disarmament, and the defendant could argue that this disproportionate punishment lacks historical support for drug-trafficking convictions.</w:t>
      </w:r>
    </w:p>
    <w:p>
      <w:r>
        <w:rPr>
          <w:b w:val="0"/>
        </w:rPr>
        <w:t>For our client Marcus Reed, whose criminal history closely mirrors Kimble's, the analysis is complicated by the fact that Kimble also had a supervised-release violation. Reed, by contrast, completed all sentences without violation. This distinction could be significant: if the government's argument in Kimble partly rested on the Bullock category (supervised-release violations), Reed's case lacks that additional factor. Nevertheless, the Fifth Circuit's broad statement about drug traffickers suggests the court would likely reach the same result for Reed.</w:t>
      </w:r>
    </w:p>
    <w:p>
      <w:r>
        <w:rPr>
          <w:b w:val="0"/>
        </w:rPr>
        <w:t>In sum, while Kimble strongly suggests that as-applied challenges by drug traffickers will fail, the opinion does not conclusively foreclose all such challenges. The viability of Reed's challenge depends on whether the government can produce historical analogues for disarming persons convicted of drug-trafficking offenses and whether those analogues satisfy the Rahimi 'taken together' standard. Based on the current state of the law, the challenge is unlikely to succeed, but the factual and historical record could produce a different result in a case with a more developed historical analysis.</w:t>
      </w:r>
    </w:p>
    <w:p>
      <w:pPr>
        <w:pStyle w:val="Heading2"/>
      </w:pPr>
      <w:r>
        <w:t>V. Conclusion</w:t>
      </w:r>
    </w:p>
    <w:p>
      <w:r>
        <w:rPr>
          <w:b w:val="0"/>
        </w:rPr>
        <w:t>Based on the Fifth Circuit's analysis in United States v. Kimble, 142 F.4th 308 (5th Cir. 2025), our client Marcus Reed's as-applied challenge to 18 U.S.C. § 922(g)(1) is unlikely to succeed. The court's statement that 'disarming drug traffickers accords with the nation's history and tradition of firearm regulation' strongly suggests that the Fifth Circuit would uphold § 922(g)(1) as applied to Reed, whose drug-trafficking convictions are factually similar to Kimble's.</w:t>
      </w:r>
    </w:p>
    <w:p>
      <w:r>
        <w:rPr>
          <w:b w:val="0"/>
        </w:rPr>
        <w:t>However, the challenge is not entirely foreclosed. The Fifth Circuit has explicitly permitted as-applied challenges and has not categorically held that all drug-trafficking convictions justify lifelong disarmament. The viability of the challenge depends on the historical record the government can assemble and whether multiple historical analogues, taken together under Rahimi, demonstrate a tradition of disarming persons convicted of drug trafficking. If the government cannot produce sufficient historical analogues, Reed's challenge could succeed.</w:t>
      </w:r>
    </w:p>
    <w:p>
      <w:r>
        <w:rPr>
          <w:b w:val="0"/>
        </w:rPr>
        <w:t>We recommend that the firm proceed with caution. If the client wishes to pursue the challenge, we should focus on developing a detailed historical record and distinguishing Kimble on the ground that Kimble had a supervised-release violation that Reed does not. However, the likelihood of success remains low given the Fifth Circuit's current posture.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