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w:t>
      </w:r>
    </w:p>
    <w:p>
      <w:r>
        <w:rPr>
          <w:b/>
        </w:rPr>
        <w:t>TO:</w:t>
        <w:tab/>
      </w:r>
      <w:r>
        <w:t>Kendra L. Hutchinson, Federal Defenders of New York, Inc.</w:t>
      </w:r>
    </w:p>
    <w:p>
      <w:r>
        <w:rPr>
          <w:b/>
        </w:rPr>
        <w:t>FROM:</w:t>
        <w:tab/>
      </w:r>
      <w:r>
        <w:t>Associate, Federal Defenders of New York, Inc.</w:t>
      </w:r>
    </w:p>
    <w:p>
      <w:r>
        <w:rPr>
          <w:b/>
        </w:rPr>
        <w:t>DATE:</w:t>
        <w:tab/>
      </w:r>
      <w:r>
        <w:t>[Date]</w:t>
      </w:r>
    </w:p>
    <w:p>
      <w:r>
        <w:rPr>
          <w:b/>
        </w:rPr>
        <w:t>RE:</w:t>
        <w:tab/>
      </w:r>
      <w:r>
        <w:t>Analysis of United States v. Cooke, 143 F.4th 164 (2d Cir. 2025)</w:t>
      </w:r>
    </w:p>
    <w:p>
      <w:r>
        <w:t>________________________________________________________________________________</w:t>
      </w:r>
    </w:p>
    <w:p>
      <w:pPr>
        <w:pStyle w:val="Heading1"/>
      </w:pPr>
      <w:r>
        <w:t>MEMORANDUM</w:t>
      </w:r>
    </w:p>
    <w:p>
      <w:pPr>
        <w:pStyle w:val="Heading2"/>
      </w:pPr>
      <w:r>
        <w:t>I. Case Background</w:t>
      </w:r>
    </w:p>
    <w:p>
      <w:r>
        <w:rPr>
          <w:b w:val="0"/>
        </w:rPr>
        <w:t>On November 29, 2022, a six-member team from the United States Marshals Service Regional Fugitive Task Force arrived at a restaurant where Jamees Cooke was employed to execute three outstanding warrants for his arrest. Upon learning of the law enforcement presence, Cooke attempted to escape, became disorderly, and violently resisted arrest, including punching a Task Force Officer (TFO) in the eye with a closed fist and biting another TFO's leg.</w:t>
      </w:r>
    </w:p>
    <w:p>
      <w:r>
        <w:rPr>
          <w:b w:val="0"/>
        </w:rPr>
        <w:t>The TFO struck by Cooke was diagnosed with a blow-out fracture of the lower orbital floor of his eye, requiring surgical repair and resulting in permanent double vision and an inability to serve as a full-duty police officer for eight months. On January 5, 2023, a grand jury in the Southern District of New York indicted Cooke on one count of assaulting, resisting, and interfering with federal officers, in violation of 18 U.S.C. § 111(a)(1), (b).</w:t>
      </w:r>
    </w:p>
    <w:p>
      <w:r>
        <w:rPr>
          <w:b w:val="0"/>
        </w:rPr>
        <w:t>On January 18, 2024, Cooke pleaded guilty to that charge without a plea agreement. The United States Probation Office prepared a Presentence Investigation Report (PSR) recommending a six-level enhancement under Sentencing Guidelines § 3A1.2(c)(1). The government alternatively argued for an enhancement under § 3A1.2(b).</w:t>
      </w:r>
    </w:p>
    <w:p>
      <w:r>
        <w:rPr>
          <w:b w:val="0"/>
        </w:rPr>
        <w:t>At sentencing on July 16, 2024, Judge Philip M. Halpern of the Southern District of New York concluded that Cooke's conduct satisfied the requirements of the official-victim enhancement under either § 3A1.2(c)(1) or § 3A1.2(b). The court calculated a total offense level of 26, criminal history category V, and a Guidelines range of 110 to 137 months' imprisonment. The court imposed a below-Guidelines sentence of 84 months' imprisonment, to be followed by three years of supervised release.</w:t>
      </w:r>
    </w:p>
    <w:p>
      <w:pPr>
        <w:pStyle w:val="Heading2"/>
      </w:pPr>
      <w:r>
        <w:t>II. Legal Issue on Appeal</w:t>
      </w:r>
    </w:p>
    <w:p>
      <w:r>
        <w:rPr>
          <w:b w:val="0"/>
        </w:rPr>
        <w:t>On appeal, Jamees Cooke challenged only the district court's application of the six-level official-victim enhancement under Sentencing Guidelines § 3A1.2(b). Cooke did not contest that he met each of the factual requirements for the enhancement under § 3A1.2(b).</w:t>
      </w:r>
    </w:p>
    <w:p>
      <w:r>
        <w:rPr>
          <w:b w:val="0"/>
        </w:rPr>
        <w:t>Instead, Cooke raised a legal argument: that § 3A1.2(b) does not apply when the offense guideline—in this case, the guideline for the underlying § 111 assault offense—already contains an enhancement that accounts for the status of the victim as a government officer. Cooke argued that applying both the offense-specific enhancement and the general official-victim enhancement constituted impermissible double-counting.</w:t>
      </w:r>
    </w:p>
    <w:p>
      <w:pPr>
        <w:pStyle w:val="Heading2"/>
      </w:pPr>
      <w:r>
        <w:t>III. The Second Circuit's Holding and Reasoning</w:t>
      </w:r>
    </w:p>
    <w:p>
      <w:r>
        <w:rPr>
          <w:b w:val="0"/>
        </w:rPr>
        <w:t>The Second Circuit, in an opinion by Circuit Judge Richard J. Sullivan, agreed with Cooke's overarching legal principle: section 3A1.2(b) does not apply if the offense guideline already incorporates an enhancement for the status of the victim as a government officer. This principle prevents impermissible double-counting of the victim's status in the sentencing calculation.</w:t>
      </w:r>
    </w:p>
    <w:p>
      <w:r>
        <w:rPr>
          <w:b w:val="0"/>
        </w:rPr>
        <w:t>However, the court held that the only offense guideline that incorporates such an enhancement is section 2A2.4, which is not at issue in this appeal. Because the offense guideline applicable to Cooke's § 111 conviction did not already contain a victim-status enhancement, the official-victim enhancement under § 3A1.2(b) could be applied without violating the double-counting principle.</w:t>
      </w:r>
    </w:p>
    <w:p>
      <w:r>
        <w:rPr>
          <w:b w:val="0"/>
        </w:rPr>
        <w:t>Accordingly, the Second Circuit affirmed the judgment of the district court, holding that the six-level official-victim enhancement was properly applied to Cooke's sentence.</w:t>
      </w:r>
    </w:p>
    <w:p>
      <w:pPr>
        <w:pStyle w:val="Heading2"/>
      </w:pPr>
      <w:r>
        <w:t>IV. Standard of Review</w:t>
      </w:r>
    </w:p>
    <w:p>
      <w:r>
        <w:rPr>
          <w:b w:val="0"/>
        </w:rPr>
        <w:t>The Second Circuit first addressed the appropriate standard of review. Normally, when a defendant challenges the calculation of his Guidelines range, the court reviews the district court's interpretation of the Sentencing Guidelines de novo, as established in United States v. Rubenstein, 403 F.3d 93, 99 (2d Cir. 2005).</w:t>
      </w:r>
    </w:p>
    <w:p>
      <w:r>
        <w:rPr>
          <w:b w:val="0"/>
        </w:rPr>
        <w:t>However, because Cooke did not raise his specific legal argument regarding double-counting at the time of sentencing, the court's review was confined to plain error, pursuant to United States v. Verkhoglyad, 516 F.3d 122, 128 (2d Cir. 2008).</w:t>
      </w:r>
    </w:p>
    <w:p>
      <w:r>
        <w:rPr>
          <w:b w:val="0"/>
        </w:rPr>
        <w:t>Under the plain error standard, as articulated in United States v. Moore, 975 F.3d 84, 90 (2d Cir. 2020), the defendant must show: (1) there is an error; (2) the error is clear or obvious, rather than subject to reasonable dispute; (3) the error affected the defendant's substantial rights; and (4) the error seriously affects the fairness, integrity, or public reputation of judicial proceedings. The court emphasized that "reversal for plain error should be used sparingly, solely in those circumstances in which a miscarriage of justice would otherwise result," citing United States v. Villafuerte, 502 F.3d 204, 209 (2d Cir. 2007).</w:t>
      </w:r>
    </w:p>
    <w:p>
      <w:pPr>
        <w:pStyle w:val="Heading2"/>
      </w:pPr>
      <w:r>
        <w:t>V. Practical Implications for Defense Attorneys</w:t>
      </w:r>
    </w:p>
    <w:p>
      <w:r>
        <w:rPr>
          <w:b w:val="0"/>
        </w:rPr>
        <w:t>The decision in United States v. Cooke underscores the critical importance of preserving legal objections at sentencing. Because Cooke did not raise his double-counting argument before the district court, the Second Circuit reviewed only for plain error—a significantly higher bar. Defense attorneys in the Second Circuit must ensure that all legal arguments regarding Guidelines calculations are timely raised at sentencing to preserve them for de novo review on appeal.</w:t>
      </w:r>
    </w:p>
    <w:p>
      <w:r>
        <w:rPr>
          <w:b w:val="0"/>
        </w:rPr>
        <w:t>The holding confirms that defendants convicted of assaulting federal officers under 18 U.S.C. § 111 remain subject to the six-level official-victim enhancement under § 3A1.2(b). The court identified § 2A2.4 as the only offense guideline that incorporates a victim-status enhancement, meaning that for all other offenses—including § 111—defense attorneys should expect the government to seek the § 3A1.2 enhancement.</w:t>
      </w:r>
    </w:p>
    <w:p>
      <w:r>
        <w:rPr>
          <w:b w:val="0"/>
        </w:rPr>
        <w:t>Despite the application of the enhancement, Cooke received a below-Guidelines sentence (84 months versus a range of 110-137 months). This suggests that vigorous advocacy regarding the § 3553(a) factors may still yield favorable sentencing outcomes even when the official-victim enhancement is applied.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