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Apple v. NLRB for CWA</w:t>
      </w:r>
    </w:p>
    <w:p>
      <w:r>
        <w:rPr>
          <w:b/>
        </w:rPr>
        <w:t>TO:</w:t>
        <w:tab/>
      </w:r>
      <w:r>
        <w:t>CWA Leadership</w:t>
      </w:r>
    </w:p>
    <w:p>
      <w:r>
        <w:rPr>
          <w:b/>
        </w:rPr>
        <w:t>FROM:</w:t>
        <w:tab/>
      </w:r>
      <w:r>
        <w:t>Senior Associate, Labor &amp; Employment Practice</w:t>
      </w:r>
    </w:p>
    <w:p>
      <w:r>
        <w:rPr>
          <w:b/>
        </w:rPr>
        <w:t>DATE:</w:t>
        <w:tab/>
      </w:r>
      <w:r>
        <w:t>July 2025</w:t>
      </w:r>
    </w:p>
    <w:p>
      <w:r>
        <w:rPr>
          <w:b/>
        </w:rPr>
        <w:t>RE:</w:t>
        <w:tab/>
      </w:r>
      <w:r>
        <w:t>Analysis of Fifth Circuit Decision in Apple Inc. v. NLRB, 143 F.4th 291 (5th Cir. 2025)</w:t>
      </w:r>
    </w:p>
    <w:p>
      <w:r>
        <w:t>________________________________________________________________________________</w:t>
      </w:r>
    </w:p>
    <w:p>
      <w:pPr>
        <w:pStyle w:val="Heading1"/>
      </w:pPr>
      <w:r>
        <w:t>Executive Summary</w:t>
      </w:r>
    </w:p>
    <w:p>
      <w:r>
        <w:rPr>
          <w:b w:val="0"/>
        </w:rPr>
        <w:t>In Apple Inc. v. NLRB, 143 F.4th 291 (5th Cir. 2025), the United States Court of Appeals for the Fifth Circuit reversed the National Labor Relations Board's decision that Apple Inc. violated Section 8(a)(1) of the National Labor Relations Act. The Board had found Apple committed two unfair labor practices: first, by coercively interrogating employee Jordan Vasquez about his union activities on May 9, 2022, and second, by removing union flyers from the employee breakroom on May 15, 2022 and thereafter. The Fifth Circuit granted Apple's petition for review, reversed the Board's order, and denied the Board's cross-application for enforcement, holding that substantial evidence did not support either finding.</w:t>
      </w:r>
    </w:p>
    <w:p>
      <w:pPr>
        <w:pStyle w:val="Heading1"/>
      </w:pPr>
      <w:r>
        <w:t>Factual Background</w:t>
      </w:r>
    </w:p>
    <w:p>
      <w:r>
        <w:rPr>
          <w:b w:val="0"/>
        </w:rPr>
        <w:t>Jordan Vasquez was a non-supervisory employee at Apple's retail store near the World Trade Center in New York City, employed from September 2019 through September 2022. In early 2021, Vasquez, along with colleague Ian O'Hara and other employees, formed an organizing committee in coordination with the Communication Workers of America (CWA). Between January and May 2022, Vasquez discussed wage increases with coworkers and management.</w:t>
      </w:r>
    </w:p>
    <w:p>
      <w:r>
        <w:rPr>
          <w:b w:val="0"/>
        </w:rPr>
        <w:t>On May 9, 2022, senior manager Stephanie Gladden approached Vasquez on the sales floor—a public area—shortly before her shift. According to Vasquez, Gladden asked how he was doing, mentioned hearing about his meeting with human resources, and then asked whether he had spoken with other employees about higher pay and how many. Vasquez further testified that Gladden asked what he thought about unionization efforts at Apple. He responded that his name had been linked to union activity but he did not want to be associated with it. Gladden's account differed; she testified that it was Vasquez who first raised the topic of unions in response to her routine inquiry about his day.</w:t>
      </w:r>
    </w:p>
    <w:p>
      <w:r>
        <w:rPr>
          <w:b w:val="0"/>
        </w:rPr>
        <w:t>The union campaign went public on May 15, 2022. Vasquez and O'Hara wore and distributed red bracelets bearing the union's initials and handed out flyers outside the store. They also placed flyers on a table in the employee breakroom. Within fifteen minutes, a manager photographed the flyers. Approximately an hour later, the store manager removed them. Vasquez and O'Hara replaced the flyers, but a different manager removed them again. O'Hara later placed and voluntarily removed more flyers. Store leader Waleed Abdelal later spoke to Vasquez about Apple's cleanliness standards and non-solicitation policy and texted him a copy of the policy.</w:t>
      </w:r>
    </w:p>
    <w:p>
      <w:r>
        <w:rPr>
          <w:b w:val="0"/>
        </w:rPr>
        <w:t>O'Hara resumed placing flyers on May 27 and June 1, 2022. On both occasions, senior managers removed the flyers within minutes, with some being shredded. Apple maintained this was consistent with its general practice of clearing materials from shared spaces. The company pointed to an unwritten 'housekeeping and cleanliness practice' aimed at keeping the store 'grand opening ready every day, every minute,' and to its official Solicitation and Distribution Policy, which restricts solicitation during work time and distribution in work areas. The Board noted that newspapers and coupons for Shake Shack and Burger King were often left on the breakroom table.</w:t>
      </w:r>
    </w:p>
    <w:p>
      <w:pPr>
        <w:pStyle w:val="Heading1"/>
      </w:pPr>
      <w:r>
        <w:t>Procedural History</w:t>
      </w:r>
    </w:p>
    <w:p>
      <w:r>
        <w:rPr>
          <w:b w:val="0"/>
        </w:rPr>
        <w:t>On May 18, 2022, the CWA filed an unfair labor practice charge. Later that year, the NLRB issued an administrative complaint alleging Apple violated Section 8(a)(1) of the NLRA by unlawfully interrogating employees about union support and by selectively enforcing its Solicitation and Distribution Policy against union flyers. After a two-day hearing, the Administrative Law Judge (ALJ) sustained both charges. The ALJ explicitly credited Vasquez's account of the May 9 conversation over Gladden's, though credited Gladden's testimony that she approached Vasquez as part of her general practice of speaking with employees at the start of her shift.</w:t>
      </w:r>
    </w:p>
    <w:p>
      <w:r>
        <w:rPr>
          <w:b w:val="0"/>
        </w:rPr>
        <w:t>Apple filed exceptions to the ALJ's decision. The NLRB affirmed the ALJ's findings and order on May 6, 2024, ordering Apple to cease and desist and post a remedial notice. Apple then petitioned the Fifth Circuit for review, arguing Gladden did not coercively interrogate Vasquez, that her statements were protected by the First Amendment, and that it enforced its breakroom policies consistently. The Board cross-applied for enforcement, and the CWA timely intervened.</w:t>
      </w:r>
    </w:p>
    <w:p>
      <w:pPr>
        <w:pStyle w:val="Heading1"/>
      </w:pPr>
      <w:r>
        <w:t>Legal Analysis</w:t>
      </w:r>
    </w:p>
    <w:p>
      <w:r>
        <w:rPr>
          <w:b w:val="0"/>
        </w:rPr>
        <w:t>The Fifth Circuit reviews the NLRB's factual findings under the 'substantial evidence on the record as a whole' standard, a deferential posture that requires affirmance if the record, viewed in the light most favorable to the Board, could lead a reasonable mind to accept the findings. The court will reverse only if it cannot conscientiously find that the evidence supporting the Board's decision is substantial.</w:t>
      </w:r>
    </w:p>
    <w:p>
      <w:r>
        <w:rPr>
          <w:b w:val="0"/>
        </w:rPr>
        <w:t>For an employer's questioning of an employee to constitute a coercive interrogation in violation of Section 8(a)(1), courts apply a totality-of-the-circumstances test. Factors include the background, the nature of the information sought, the identity of the questioner, and the place and method of interrogation. Crucially, the setting must be considered. Here, the conversation occurred on the sales floor, a space open to the public, during a routine interaction Gladden had with employees at the start of her shifts. The court found this context lacked the hallmarks of coercion: there was no threat of reprisal, no promise of benefit, and no indication of a hostile atmosphere. Gladden's questions were part of a general conversation that included inquiries about a knee injury and the HR meeting. The court emphasized that the mere fact that a supervisor asks about union activities does not automatically constitute coercion.</w:t>
      </w:r>
    </w:p>
    <w:p>
      <w:r>
        <w:rPr>
          <w:b w:val="0"/>
        </w:rPr>
        <w:t>Apple also argued that any statements by Gladden were protected by the First Amendment. While the opinion does not detail the court's full analysis of this claim, its decision to reverse on substantial evidence grounds suggests it found this argument either unnecessary to reach or secondary to the evidentiary holding.</w:t>
      </w:r>
    </w:p>
    <w:p>
      <w:r>
        <w:rPr>
          <w:b w:val="0"/>
        </w:rPr>
        <w:t>Regarding the flyer removal, the court analyzed whether Apple's enforcement of its policies constituted disparate treatment. The Board must show that the employer's stated reason for its action is pretextual and that the real reason was anti-union animus. Apple relied on two policies: the written Solicitation and Distribution Policy, which prohibits solicitation during work time and distribution in work areas, and an unwritten 'housekeeping and cleanliness practice' aimed at keeping the store 'grand opening ready.' The court examined whether these policies were enforced evenhandedly. A critical fact was the Board's own observation that newspapers and coupons were often left on the breakroom table. The court found this evidence did not sufficiently demonstrate disparate enforcement, particularly given the testimony of senior managers that the removals were consistent with a general practice of clearing materials, regardless of content. The court deferred to the managers' explanation that the flyers were removed as part of routine tidiness, not because of their union message.</w:t>
      </w:r>
    </w:p>
    <w:p>
      <w:r>
        <w:rPr>
          <w:b w:val="0"/>
        </w:rPr>
        <w:t>The court's decision underscores the high bar for overturning credibility determinations by the ALJ, yet it ultimately found the Board's conclusions were not supported by substantial evidence. The court did not disturb the ALJ's credibility finding regarding the May 9 conversation but found that even accepting Vasquez's account, the legal standard for coercive interrogation was not met. Similarly, the court held that the pattern of flyer removal, even if rapid, was consistent with Apple's asserted policies and practices. The opinion highlights the importance of concrete evidence of anti-union animus or disparate treatment for a successful unfair labor practice charge.</w:t>
      </w:r>
    </w:p>
    <w:p>
      <w:pPr>
        <w:pStyle w:val="Heading1"/>
      </w:pPr>
      <w:r>
        <w:t>Practical Implications</w:t>
      </w:r>
    </w:p>
    <w:p>
      <w:r>
        <w:rPr>
          <w:b w:val="0"/>
        </w:rPr>
        <w:t>This decision has significant practical implications for union organizing campaigns, particularly in retail environments. First, it establishes that conversations between managers and employees about union activity that occur in public, non-coercive settings, and are part of routine interactions, are less likely to be found as coercive interrogation. Organizing committees should train employees to recognize the difference between coercive questioning and lawful inquiry, emphasizing context and tone.</w:t>
      </w:r>
    </w:p>
    <w:p>
      <w:r>
        <w:rPr>
          <w:b w:val="0"/>
        </w:rPr>
        <w:t>Second, the decision highlights the importance of employers having and consistently enforcing clear, written workplace policies. Apple's combination of a written policy and testimony about an unwritten but consistently applied housekeeping practice provided a credible, non-discriminatory reason for removing the union flyers. The court was not persuaded by the presence of stray newspapers and coupons. For unions, this means that challenging an employer's policy enforcement will require more than isolated examples of inconsistent treatment; it demands evidence of a pattern of selective enforcement targeting union activity.</w:t>
      </w:r>
    </w:p>
    <w:p>
      <w:r>
        <w:rPr>
          <w:b w:val="0"/>
        </w:rPr>
        <w:t>Finally, this ruling from the Fifth Circuit may weaken the NLRB's ability to police employer conduct during organizing campaigns in workplaces with similar policies and practices. The court's reversal, despite the ALJ's credibility findings in favor of the employee, signals a high evidentiary bar. The CWA and its organizing committees should anticipate that employers may rely on neutral policies and will need to meticulously document any instances of disparate enforcement, threats, or promises that accompany the application of such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