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TO:</w:t>
        <w:tab/>
      </w:r>
      <w:r>
        <w:t>Senior Partner</w:t>
      </w:r>
    </w:p>
    <w:p>
      <w:r>
        <w:rPr>
          <w:b/>
        </w:rPr>
        <w:t>FROM:</w:t>
        <w:tab/>
      </w:r>
      <w:r>
        <w:t>Associate</w:t>
      </w:r>
    </w:p>
    <w:p>
      <w:r>
        <w:rPr>
          <w:b/>
        </w:rPr>
        <w:t>RE:</w:t>
        <w:tab/>
      </w:r>
      <w:r>
        <w:t>Legal Memorandum - Columbia Legal Services v. Stemilt Ag Services, LLC, 142 F.4th 1201 (9th Cir. 2025)</w:t>
      </w:r>
    </w:p>
    <w:p>
      <w:r>
        <w:t>________________________________________________________________________________</w:t>
      </w:r>
    </w:p>
    <w:p>
      <w:pPr>
        <w:pStyle w:val="Heading1"/>
      </w:pPr>
      <w:r>
        <w:t>Issue Presented</w:t>
      </w:r>
    </w:p>
    <w:p>
      <w:r>
        <w:rPr>
          <w:b w:val="0"/>
        </w:rPr>
        <w:t>1. Whether Columbia Legal Services, as counsel for the plaintiffs in a settled class action, has Article III standing to appeal a protective order that restricts its ability to use discovery materials obtained in that action in other advocacy.</w:t>
      </w:r>
    </w:p>
    <w:p>
      <w:r>
        <w:rPr>
          <w:b w:val="0"/>
        </w:rPr>
        <w:t>2. Whether the district court abused its discretion under Federal Rule of Civil Procedure 26(c)(1) in issuing a protective order that required plaintiffs and their counsel to seek leave of court before utilizing any discovery from the action in other advocacy, without making a finding of good cause to support such a broad restriction.</w:t>
      </w:r>
    </w:p>
    <w:p>
      <w:pPr>
        <w:pStyle w:val="Heading1"/>
      </w:pPr>
      <w:r>
        <w:t>Statement of Facts</w:t>
      </w:r>
    </w:p>
    <w:p>
      <w:r>
        <w:rPr>
          <w:b w:val="0"/>
        </w:rPr>
        <w:t>Columbia Legal Services is a legal organization that is part of the Alliance for Equal Justice, a Washington State network providing legal aid to low-income, vulnerable, and marginalized individuals and communities. Columbia represented H-2A temporary agricultural workers employed by Stemilt AG Services, LLC, a subsidiary of a large fruit grower in Washington State.</w:t>
      </w:r>
    </w:p>
    <w:p>
      <w:r>
        <w:rPr>
          <w:b w:val="0"/>
        </w:rPr>
        <w:t>In 2020, plaintiffs Gilberto Gomez Garcia and Jonathan Gomez Rivera initiated a class action against Stemilt, alleging forced labor and trafficking. A separate lawsuit was brought by other farmworkers in 2022, and the suits were eventually consolidated. Columbia represented the plaintiffs in both suits before and after consolidation.</w:t>
      </w:r>
    </w:p>
    <w:p>
      <w:r>
        <w:rPr>
          <w:b w:val="0"/>
        </w:rPr>
        <w:t>The underlying litigation was marked by contentious discovery disputes. The district court entered two protective orders. The first concerned records from the Washington State Employment Security Division (ESD). Stemilt proposed a universal protective order, while plaintiffs proposed a narrower one covering only specific sensitive data (addresses, medical records, dates of birth, telephone numbers, and social security numbers). The district court adopted plaintiffs' proposed order as a 'middle ground.'</w:t>
      </w:r>
    </w:p>
    <w:p>
      <w:r>
        <w:rPr>
          <w:b w:val="0"/>
        </w:rPr>
        <w:t>The second protective order concerned Stemilt's own financial and employment records. Stemilt again sought a universal protective order, expressing concern that Columbia intended to use materials outside the litigation, noting Columbia had already used domestic payroll data from the case in another lawsuit to advocate for higher hourly wages in Washington H-2A contracts. Plaintiffs proposed a narrower order covering health data and medical records, and Stemilt's sales, profits, and revenue data from 2016-2020.</w:t>
      </w:r>
    </w:p>
    <w:p>
      <w:r>
        <w:rPr>
          <w:b w:val="0"/>
        </w:rPr>
        <w:t>The district court adopted plaintiffs' narrower proposal but added a significant limitation: 'Plaintiffs must seek leave of this Court before they—or counsel—utilize discovery from this action in other advocacy.' The court warned it would 'grant leave only in limited circumstances.' The parties subsequently settled the class action. The settlement agreement waived the right to appeal for plaintiffs in their individual capacities, but Columbia timely appealed the protective order in its own name.</w:t>
      </w:r>
    </w:p>
    <w:p>
      <w:pPr>
        <w:pStyle w:val="Heading1"/>
      </w:pPr>
      <w:r>
        <w:t>Analysis</w:t>
      </w:r>
    </w:p>
    <w:p>
      <w:r>
        <w:rPr>
          <w:b w:val="0"/>
        </w:rPr>
        <w:t>A. Standing</w:t>
        <w:br/>
        <w:br/>
        <w:t>The Ninth Circuit held that Columbia Legal Services had Article III standing to appeal the protective order. Article III requires a showing of '(1) a concrete and particularized injury, that (2) is fairly traceable to the challenged conduct, and (3) is likely to be redressed by a favorable decision.' Va. House of Delegates v. Bethune-Hill, 587 U.S. 658, 662 (2019). Generally, only parties at the time judgment was entered have standing to appeal. Hoover v. Switlik Parachute Co., 663 F.2d 964, 966 (9th Cir. 1981). However, there is an exception for nonparty attorneys who have been 'aggrieved' by a district court order. See In re Volkswagen 'Clean Diesel' Mktg., Sales Pracs., &amp; Prods. Liab. Litig., 937 F.3d 1284, 1291 (9th Cir. 2019). The court found Columbia was clearly aggrieved because it would benefit from having the ability to use information obtained in discovery in other advocacy. Furthermore, the settlement agreement did not waive Columbia's right to appeal, as it only waived the right for 'Plaintiffs, in their individual capacities.'</w:t>
      </w:r>
    </w:p>
    <w:p>
      <w:r>
        <w:rPr>
          <w:b w:val="0"/>
        </w:rPr>
        <w:t>B. Abuse of Discretion and Good Cause</w:t>
        <w:br/>
        <w:br/>
        <w:t>The court reviewed the district court's protective order for abuse of discretion. Garris v. Fed. Bureau of Investigation, 937 F.3d 1284, 1291 (9th Cir. 2019). A district court abuses its discretion when it fails to identify and apply the correct legal rule or if its application is illogical, implausible, or without support in the record. In re Roman Cath. Archbishop of Portland in Or., 661 F.3d 417, 424 (9th Cir. 2011).</w:t>
      </w:r>
    </w:p>
    <w:p>
      <w:r>
        <w:rPr>
          <w:b w:val="0"/>
        </w:rPr>
        <w:t>The correct legal rule is found in Federal Rule of Civil Procedure 26(c)(1), which authorizes a court to issue a protective order for good cause shown. The Ninth Circuit emphasized that discovery is presumptively public, and a court must find good cause before issuing a protective order that restricts the use of discovered information. The court found the district court abused its discretion because it entered a 'broad and undifferentiated order' requiring leave for any use of discovery in other advocacy, but provided only 'a brief explanation and no finding of good cause' to support such a sweeping prohibition against counsel using any and all information and documents without prior approval.</w:t>
      </w:r>
    </w:p>
    <w:p>
      <w:pPr>
        <w:pStyle w:val="Heading1"/>
      </w:pPr>
      <w:r>
        <w:t>Conclusion</w:t>
      </w:r>
    </w:p>
    <w:p>
      <w:r>
        <w:rPr>
          <w:b w:val="0"/>
        </w:rPr>
        <w:t>The Ninth Circuit vacated the district court's protective order and remanded the case for further proceedings. The decision establishes that nonparty counsel aggrieved by a protective order has standing to appeal, even after settlement of the underlying action, provided the settlement does not waive that right. More importantly, the opinion reaffirms the high bar for restricting the use of discovery materials: a district court must articulate specific 'good cause' under Rule 26(c)(1) for a broad protective order, and cannot rely on generalized concerns about potential future misuse. For attorneys, this means that efforts to limit the use of discovery in subsequent advocacy will face strict scrutiny, and any such restrictions must be narrowly tailored and supported by specific findings of harm.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