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Memorandum — People v. Salazar Resentencing</w:t>
      </w:r>
    </w:p>
    <w:p>
      <w:r>
        <w:rPr>
          <w:b/>
        </w:rPr>
        <w:t>TO:</w:t>
        <w:tab/>
      </w:r>
      <w:r>
        <w:t>Supervising Attorney, Appellate Division</w:t>
      </w:r>
    </w:p>
    <w:p>
      <w:r>
        <w:rPr>
          <w:b/>
        </w:rPr>
        <w:t>FROM:</w:t>
        <w:tab/>
      </w:r>
      <w:r>
        <w:t>Associate, Appellate Division</w:t>
      </w:r>
    </w:p>
    <w:p>
      <w:r>
        <w:rPr>
          <w:b/>
        </w:rPr>
        <w:t>DATE:</w:t>
        <w:tab/>
      </w:r>
      <w:r>
        <w:t>2024-01-15</w:t>
      </w:r>
    </w:p>
    <w:p>
      <w:r>
        <w:rPr>
          <w:b/>
        </w:rPr>
        <w:t>RE:</w:t>
        <w:tab/>
      </w:r>
      <w:r>
        <w:t>People v. Salazar — Resentencing Analysis Under Senate Bill 567</w:t>
      </w:r>
    </w:p>
    <w:p>
      <w:r>
        <w:t>________________________________________________________________________________</w:t>
      </w:r>
    </w:p>
    <w:p>
      <w:pPr>
        <w:pStyle w:val="Heading1"/>
      </w:pPr>
      <w:r>
        <w:t>MEMORANDUM</w:t>
      </w:r>
    </w:p>
    <w:p>
      <w:pPr>
        <w:pStyle w:val="Heading2"/>
      </w:pPr>
      <w:r>
        <w:t>I. Issue Presented</w:t>
      </w:r>
    </w:p>
    <w:p>
      <w:r>
        <w:rPr>
          <w:b w:val="0"/>
        </w:rPr>
        <w:t>Whether, on remand from the California Supreme Court's decision in People v. Salazar (2023) 315 Cal. Rptr. 3d 295, the sentencing court must apply the lower term presumption created by Senate Bill 567 under Penal Code section 1170, subdivision (b)(6), given that the record contains evidence that a psychological, physical, or childhood trauma contributed to the commission of the offense.</w:t>
      </w:r>
    </w:p>
    <w:p>
      <w:pPr>
        <w:pStyle w:val="Heading2"/>
      </w:pPr>
      <w:r>
        <w:t>II. Statutory Framework: Senate Bill 567</w:t>
      </w:r>
    </w:p>
    <w:p>
      <w:r>
        <w:rPr>
          <w:b w:val="0"/>
        </w:rPr>
        <w:t>Senate Bill 567 (2021-2022 Reg. Sess.) (Stats. 2021, ch. 731) amended Penal Code section 1170 to create a presumption in favor of the lower term sentence. Under the amended statute, the sentencing court 'shall' impose the lower term when certain conditions are met, including when 'a psychological, physical, or childhood trauma' contributed to the offense. (Pen. Code, § 1170, subd. (b)(6) &amp; (A).)</w:t>
      </w:r>
    </w:p>
    <w:p>
      <w:r>
        <w:rPr>
          <w:b w:val="0"/>
        </w:rPr>
        <w:t>The statute provides that the sentencing court may only depart from this lower term presumption if it finds that 'the aggravating circumstances outweigh the mitigating circumstances such that the lower term would be contrary to the interests of justice.' (Pen. Code, § 1170, subd. (b)(6).)</w:t>
      </w:r>
    </w:p>
    <w:p>
      <w:r>
        <w:rPr>
          <w:b w:val="0"/>
        </w:rPr>
        <w:t>As the Supreme Court confirmed in People v. Salazar, the parties agree that this new legislation applies on appeal to Salazar's nonfinal case pursuant to the rule established in In re Estrada (1965) 63 Cal.2d 740, 745. This retroactivity principle is critical because it means the resentencing court must apply the current version of section 1170, including the lower term presumption, rather than the version in effect at the time of the original sentencing in November 2020.</w:t>
      </w:r>
    </w:p>
    <w:p>
      <w:r>
        <w:rPr>
          <w:b w:val="0"/>
        </w:rPr>
        <w:t>The Attorney General has conceded that the record discloses that Salazar may have suffered a qualifying trauma, which would appear to meet the statute's threshold requirement for triggering the lower term presumption. This concession, referenced in the Supreme Court opinion citing People v. Frahs (2020) 9 Cal.5th 618, 638-640, significantly strengthens Salazar's position at resentencing.</w:t>
      </w:r>
    </w:p>
    <w:p>
      <w:pPr>
        <w:pStyle w:val="Heading2"/>
      </w:pPr>
      <w:r>
        <w:t>III. Record Evidence Supporting the Lower Term Presumption</w:t>
      </w:r>
    </w:p>
    <w:p>
      <w:r>
        <w:rPr>
          <w:b w:val="0"/>
        </w:rPr>
        <w:t>The sentencing record contains extensive evidence of Salazar's psychological, physical, and childhood trauma, all of which contributed to the commission of the offense. The defense sentencing memorandum reported that Salazar's father was an alcoholic who strictly disciplined him, and that Salazar began using alcohol, marijuana, and cocaine at age 13, with frequent use of psychedelic drugs including LSD from ages 13 to 20.</w:t>
      </w:r>
    </w:p>
    <w:p>
      <w:r>
        <w:rPr>
          <w:b w:val="0"/>
        </w:rPr>
        <w:t>The Ventura County Behavior Health Client Assessment Form from December 2011 is particularly significant. This form documents that Salazar reported his father was physically abusive beginning at age five. He reported visual hallucinations since childhood, and the form states that Salazar has symptoms of posttraumatic stress disorder (PTSD), including flashbacks of rapes and physical assaults when in prison. The form further notes symptoms of attention deficit hyperactivity disorder (ADHD) that 'were likely related to trauma in childhood.'</w:t>
      </w:r>
    </w:p>
    <w:p>
      <w:r>
        <w:rPr>
          <w:b w:val="0"/>
        </w:rPr>
        <w:t>Salazar's psychiatric history further supports the trauma nexus. In November 2009, at age 36, Salazar was admitted to the Ventura County Psychiatric Unit after attempting to kill himself, expressing paranoid beliefs that his mother's boyfriend was trying to kill him, and disclosing a history of self-harm and suicidal ideations. A subsequent adult services assessment in December 2009 confirmed paranoid ideation and hallucinations.</w:t>
      </w:r>
    </w:p>
    <w:p>
      <w:r>
        <w:rPr>
          <w:b w:val="0"/>
        </w:rPr>
        <w:t>The December 2011 client assessment form concluded that Salazar meets the criteria for schizoaffective disorder, major depressive disorder, and dysthymic disorder. This diagnosis built upon a prior diagnosis of schizoaffective disorder, depressed type, from May 2010. Additionally, the defense memorandum noted that Salazar's mother and sister were diagnosed with bipolar disorder and his father was diagnosed with paranoid schizophrenia, indicating a significant family history of mental illness compounded by childhood trauma.</w:t>
      </w:r>
    </w:p>
    <w:p>
      <w:r>
        <w:rPr>
          <w:b w:val="0"/>
        </w:rPr>
        <w:t>The temporal and causal connection between Salazar's trauma and the offense is supported by the record. During the offense, Salazar ingested five lines of methamphetamine, exhibited paranoid behavior including accusing the victim of stealing his motorcycle despite evidence to the contrary, and displayed patterns of substance abuse that began in childhood as a response to his traumatic upbringing.</w:t>
      </w:r>
    </w:p>
    <w:p>
      <w:pPr>
        <w:pStyle w:val="Heading2"/>
      </w:pPr>
      <w:r>
        <w:t>IV. The Gutierrez Standard and Remand for Resentencing</w:t>
      </w:r>
    </w:p>
    <w:p>
      <w:r>
        <w:rPr>
          <w:b w:val="0"/>
        </w:rPr>
        <w:t>The Supreme Court applied the framework from People v. Gutierrez (2014) 58 Cal.4th 1354 to determine the appropriate remedy. Under Gutierrez, when a sentencing court was not aware of the full scope of its discretionary powers at the time of sentencing, 'the appropriate remedy is to remand for resentencing unless the record clearly indicates that the trial court would have reached the same conclusion even if it had been aware that it had such discretion.' (Gutierrez, at p. 1391.)</w:t>
      </w:r>
    </w:p>
    <w:p>
      <w:r>
        <w:rPr>
          <w:b w:val="0"/>
        </w:rPr>
        <w:t>The Supreme Court found no clear indication in the record that the sentencing court would have imposed the same sentence had it been aware of the scope of its discretionary powers under the current section 1170. This finding is significant because it means the Court of Appeal erred in concluding otherwise, and the resentencing court must approach the case with a fresh perspective on its sentencing discretion.</w:t>
      </w:r>
    </w:p>
    <w:p>
      <w:r>
        <w:rPr>
          <w:b w:val="0"/>
        </w:rPr>
        <w:t>While the sentencing court denied Salazar's request to dismiss the prior strike conviction under People v. Superior Court (Romero) (1996) 13 Cal.4th 497, the court also praised Salazar's courtroom conduct, stating: 'You presented yourself very well. You could not have been more respectful, both to your counsel and to [the prosecutor] and to me and to the jury.' The court expressed hope that Salazar could 'become the best' once the proceedings concluded.</w:t>
      </w:r>
    </w:p>
    <w:p>
      <w:r>
        <w:rPr>
          <w:b w:val="0"/>
        </w:rPr>
        <w:t>This language suggests the sentencing court viewed Salazar favorably and may have been sympathetic to mitigation evidence had it been aware of the full scope of its discretion under Senate Bill 567. The absence of any explicit rejection of the mitigating factors related to Salazar's trauma history further supports the conclusion that the resentencing court should give serious consideration to the lower term presumption.</w:t>
      </w:r>
    </w:p>
    <w:p>
      <w:pPr>
        <w:pStyle w:val="Heading2"/>
      </w:pPr>
      <w:r>
        <w:t>V. Aggravating and Mitigating Factors for Resentencing</w:t>
      </w:r>
    </w:p>
    <w:p>
      <w:r>
        <w:rPr>
          <w:b w:val="0"/>
        </w:rPr>
        <w:t>The resentencing court will weigh aggravating and mitigating circumstances under the framework of Penal Code section 1170, subdivision (b)(6). The mitigating factors strongly favor imposition of the lower term. These include: (1) Salazar's childhood trauma, including physical abuse by his father beginning at age five; (2) his extensive psychiatric history, including diagnoses of schizoaffective disorder, major depressive disorder, and dysthymic disorder; (3) his history of PTSD with flashbacks of prison assaults; (4) ADHD symptoms related to childhood trauma; (5) his substance abuse history beginning at age 13 as a coping mechanism for trauma; and (6) the Attorney General's concession that the record discloses a qualifying trauma.</w:t>
      </w:r>
    </w:p>
    <w:p>
      <w:r>
        <w:rPr>
          <w:b w:val="0"/>
        </w:rPr>
        <w:t>The aggravating factors include Salazar's prior criminal history, which the prosecution's statement in aggravation details as including: a misdemeanor conviction for assault with a deadly weapon in 1997 (Pen. Code, § 245); a conviction for battery on a spouse in 1998 (Pen. Code, § 243, subd. (e)); a misdemeanor conviction for inflicting injury on a spouse in 1998 (Pen. Code, § 273.5, subd. (a)); a conviction for possessing a stolen vehicle in 2009 (Pen. Code, § 496d, subd. (a)); a conviction for battery in 2009 (Pen. Code, § 242); and two convictions for evading police with willful disregard for safety in 2012 and 2014 (Pen. Code, § 2800.2, subd. (a)).</w:t>
      </w:r>
    </w:p>
    <w:p>
      <w:r>
        <w:rPr>
          <w:b w:val="0"/>
        </w:rPr>
        <w:t>Additionally, the prosecution noted that after Salazar's arrest for the present case, six new cases were filed against him, and he has been committed to the Department of Corrections and Rehabilitation 11 times since 2001. The nature of the present offenses involving sustained violence against a former dating partner over an extended period also constitutes a significant aggravating factor.</w:t>
      </w:r>
    </w:p>
    <w:p>
      <w:r>
        <w:rPr>
          <w:b w:val="0"/>
        </w:rPr>
        <w:t>At resentencing, the defense should emphasize that the mitigating factors directly related to the offense particularly the childhood trauma and resulting psychological conditions must be weighed heavily under the new statutory framework. The fact that the jury acquitted Salazar of kidnapping and attempted robbery suggests the offenses, while serious, were not as severe as originally charged, which may influence the court's assessment of whether the lower term would serve the interests of justice.</w:t>
      </w:r>
    </w:p>
    <w:p>
      <w:pPr>
        <w:pStyle w:val="Heading2"/>
      </w:pPr>
      <w:r>
        <w:t>VI. Strategic Recommendations for Resentencing Hearing</w:t>
      </w:r>
    </w:p>
    <w:p>
      <w:r>
        <w:rPr>
          <w:b w:val="0"/>
        </w:rPr>
        <w:t>First, defense counsel should obtain a current psychological or psychiatric evaluation of Salazar. The existing evaluations from 2009 and 2011 document significant mental health conditions, but an updated evaluation would allow the court to assess Salazar's current mental state and provide a professional opinion linking his childhood trauma and psychological conditions to the commission of the offense. This is critical for satisfying the statutory requirement that the trauma 'contributed to the offense.' (Pen. Code, § 1170, subd. (b)(6).)</w:t>
      </w:r>
    </w:p>
    <w:p>
      <w:r>
        <w:rPr>
          <w:b w:val="0"/>
        </w:rPr>
        <w:t>Second, the defense should prepare a comprehensive sentencing memorandum that explicitly connects each element of Salazar's trauma history to the circumstances of the offense. The memorandum should highlight the Attorney General's concession that the record discloses a qualifying trauma and emphasize that the Supreme Court found no clear indication that the sentencing court would have imposed the same sentence under the current statutory framework.</w:t>
      </w:r>
    </w:p>
    <w:p>
      <w:r>
        <w:rPr>
          <w:b w:val="0"/>
        </w:rPr>
        <w:t>Third, defense counsel should proactively address the aggravating factors rather than leaving them unchallenged. For each prior conviction, counsel should provide context such as the role of substance abuse and mental health conditions and argue that the mitigating circumstances outweigh the aggravating circumstances such that the lower term would not be contrary to the interests of justice.</w:t>
      </w:r>
    </w:p>
    <w:p>
      <w:r>
        <w:rPr>
          <w:b w:val="0"/>
        </w:rPr>
        <w:t>Fourth, counsel should consider presenting live testimony from Salazar and potentially from family members or treatment providers who can speak to his trauma history and rehabilitation efforts. The sentencing court's prior praise of Salazar's courtroom conduct suggests that personal testimony could be persuasive.</w:t>
      </w:r>
    </w:p>
    <w:p>
      <w:r>
        <w:rPr>
          <w:b w:val="0"/>
        </w:rPr>
        <w:t>Finally, counsel should be prepared to argue in the alternative. If the court is inclined to impose a middle term, counsel should argue for the low end of the middle term and for concurrent rather than consecutive sentencing on the multiple counts. The goal is to secure the most favorable sentence possible given the totality of the circumstances and the new statutory framework.</w:t>
      </w:r>
    </w:p>
    <w:p>
      <w:pPr>
        <w:pStyle w:val="Heading2"/>
      </w:pPr>
      <w:r>
        <w:t>VII. Conclusion</w:t>
      </w:r>
    </w:p>
    <w:p>
      <w:r>
        <w:rPr>
          <w:b w:val="0"/>
        </w:rPr>
        <w:t>The California Supreme Court's decision in People v. Salazar establishes that the case must be remanded for resentencing under the current version of Penal Code section 1170, including the lower term presumption created by Senate Bill 567. The Attorney General has conceded that the record discloses a qualifying trauma, and the Supreme Court found no clear indication that the sentencing court would have imposed the same sentence had it been aware of its full discretionary powers. The extensive evidence of Salazar's childhood trauma, psychological conditions, and their connection to the offense strongly supports imposition of the lower term. Defense counsel should present a well-documented case at the resentencing hearing, emphasizing the statutory framework, the Attorney General's concession, and the Supreme Court's ruling, while proactively addressing the aggravating factors in the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