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SENTENCING MEMORANDUM</w:t>
      </w:r>
    </w:p>
    <w:p>
      <w:r>
        <w:rPr>
          <w:b/>
        </w:rPr>
        <w:t>TO:</w:t>
        <w:tab/>
      </w:r>
      <w:r>
        <w:t>Honorable Thomas O. Rice, District Judge</w:t>
      </w:r>
    </w:p>
    <w:p>
      <w:r>
        <w:rPr>
          <w:b/>
        </w:rPr>
        <w:t>FROM:</w:t>
        <w:tab/>
      </w:r>
      <w:r>
        <w:t>Zachary L. Ayers, Ayers Law Firm PLLC</w:t>
      </w:r>
    </w:p>
    <w:p>
      <w:r>
        <w:rPr>
          <w:b/>
        </w:rPr>
        <w:t>RE:</w:t>
        <w:tab/>
      </w:r>
      <w:r>
        <w:t>Sentencing Memorandum - United States v. Petrushkin, Case No. 2:21-cr-00164-TOR-2</w:t>
      </w:r>
    </w:p>
    <w:p>
      <w:r>
        <w:t>________________________________________________________________________________</w:t>
      </w:r>
    </w:p>
    <w:p>
      <w:pPr>
        <w:pStyle w:val="Heading1"/>
      </w:pPr>
      <w:r>
        <w:t>SENTENCING MEMORANDUM</w:t>
      </w:r>
    </w:p>
    <w:p>
      <w:r>
        <w:rPr>
          <w:b w:val="0"/>
        </w:rPr>
        <w:t>IN THE UNITED STATES DISTRICT COURT</w:t>
        <w:br/>
        <w:t>FOR THE EASTERN DISTRICT OF WASHINGTON</w:t>
        <w:br/>
        <w:br/>
        <w:t>UNITED STATES OF AMERICA,</w:t>
        <w:br/>
        <w:br/>
        <w:t>Plaintiff,</w:t>
        <w:br/>
        <w:br/>
        <w:t>v.</w:t>
        <w:br/>
        <w:br/>
        <w:t>VINCENT NICHOLAS PETRUSHKIN,</w:t>
        <w:br/>
        <w:t>AKA Vincint Petrushkin,</w:t>
        <w:br/>
        <w:t>AKA Vincent Petrushkin,</w:t>
        <w:br/>
        <w:br/>
        <w:t>Defendant.</w:t>
        <w:br/>
        <w:br/>
        <w:t>Case No. 2:21-cr-00164-TOR-2</w:t>
        <w:br/>
        <w:br/>
        <w:t>SENTENCING MEMORANDUM</w:t>
      </w:r>
    </w:p>
    <w:p>
      <w:pPr>
        <w:pStyle w:val="Heading2"/>
      </w:pPr>
      <w:r>
        <w:t>I. INTRODUCTION</w:t>
      </w:r>
    </w:p>
    <w:p>
      <w:r>
        <w:rPr>
          <w:b w:val="0"/>
        </w:rPr>
        <w:t>Defendant Vincent Nicholas Petrushkin, by and through undersigned counsel, respectfully submits this sentencing memorandum in advance of resentencing. The Ninth Circuit vacated Mr. Petrushkin's sentence and remanded for resentencing in United States v. Petrushkin, 142 F.4th 1241 (9th Cir. 2025), holding that the district court abused its discretion in applying the U.S.S.G. § 2K2.1(c)(1) enhancement. As set forth below, the defense respectfully requests that the Court impose a sentence of time served.</w:t>
      </w:r>
    </w:p>
    <w:p>
      <w:r>
        <w:rPr>
          <w:b w:val="0"/>
        </w:rPr>
        <w:t>As the Ninth Circuit explained, the district court's application of the (c)(1) enhancement was an abuse of discretion because the court 'focused solely on Petrushkin's knowledge that Holmes was going to commit a robbery' and 'did not find that Petrushkin possessed the firearm in a manner that potentially emboldened or facilitated Holmes's offense.' 142 F.4th at 1243. The defense submits that neither the (c)(1) enhancement nor the alternative (b)(6)(B) enhancement should apply to Mr. Petrushkin's case, and that even if an enhancement applies, the totality of the circumstances warrants a sentence of time served.</w:t>
      </w:r>
    </w:p>
    <w:p>
      <w:pPr>
        <w:pStyle w:val="Heading2"/>
      </w:pPr>
      <w:r>
        <w:t>II. LEGAL STANDARD FOR U.S.S.G. § 2K2.1(c)(1) AND (b)(6)(B)</w:t>
      </w:r>
    </w:p>
    <w:p>
      <w:r>
        <w:rPr>
          <w:b w:val="0"/>
        </w:rPr>
        <w:t>The Ninth Circuit reviewed the district court's legal interpretation of the Sentencing Guidelines de novo, citing United States v. Holt, 510 F.3d 1007, 1010 (9th Cir. 2007). 142 F.4th at 1246. The court held that the 'potentially emboldened or facilitated' requirement set forth in United States v. Routon, 25 F.3d 815 (9th Cir. 1994), applies to both clauses of § 2K2.1(c)(1). Id. at 1243.</w:t>
      </w:r>
    </w:p>
    <w:p>
      <w:r>
        <w:rPr>
          <w:b w:val="0"/>
        </w:rPr>
        <w:t>Under § 2K2.1(c)(1), the enhancement applies if 'the defendant used or possessed any firearm or ammunition cited in the offense of conviction in connection with the commission or attempted commission of another offense, or possessed or transferred a firearm or ammunition cited in the offense of conviction with knowledge or intent that it would be used or possessed in connection with another offense.' Under the Routon standard, 'the government must show that the defendant possessed the firearm in a manner that potentially emboldened or facilitated the other offense.' 142 F.4th at 1243.</w:t>
      </w:r>
    </w:p>
    <w:p>
      <w:r>
        <w:rPr>
          <w:b w:val="0"/>
        </w:rPr>
        <w:t>The alternative enhancement under § 2K2.1(b)(6)(B) applies when a defendant 'used or possessed any firearm or ammunition in connection with another felony offense; or possessed or transferred any firearm or ammunition with knowledge, intent, or reason to believe that it would be used or possessed in connection with another felony offense.' The defense submits that even if the (b)(6)(B) enhancement applies, the facts of this case warrant the lower Guidelines range.</w:t>
      </w:r>
    </w:p>
    <w:p>
      <w:pPr>
        <w:pStyle w:val="Heading2"/>
      </w:pPr>
      <w:r>
        <w:t>III. THE § 2K2.1(c)(1) ENHANCEMENT DOES NOT APPLY</w:t>
      </w:r>
    </w:p>
    <w:p>
      <w:r>
        <w:rPr>
          <w:b w:val="0"/>
        </w:rPr>
        <w:t>The Ninth Circuit has definitively held that the district court abused its discretion in applying the (c)(1) enhancement. The court found that the district court 'focused solely on Petrushkin's knowledge that Holmes was going to commit a robbery' and 'did not find that Petrushkin possessed the firearm in a manner that potentially emboldened or facilitated Holmes's offense.' 142 F.4th at 1243.</w:t>
      </w:r>
    </w:p>
    <w:p>
      <w:r>
        <w:rPr>
          <w:b w:val="0"/>
        </w:rPr>
        <w:t>The facts of this case simply do not support application of the (c)(1) enhancement. As the Ninth Circuit explained, Petrushkin 'held the gun, looked at it and said hell yeah,' then 'handed the gun back to Holmes' and 'got into the backseat of the car.' 142 F.4th at 1244. Petrushkin possessed the gun for 'approximately five seconds.' Id. This fleeting possession was entirely passive and did not in any way embolden or facilitate Holmes's subsequent robbery of the undercover ATF agent.</w:t>
      </w:r>
    </w:p>
    <w:p>
      <w:r>
        <w:rPr>
          <w:b w:val="0"/>
        </w:rPr>
        <w:t>Moreover, Holmes explicitly told Burns and Petrushkin that he was 'gonna do this by myself homie' and 'rejected their offers of help.' Id. Holmes intended to act alone, and Petrushkin's momentary handling of the firearm played no role in facilitating or emboldening Holmes's decision to commit the robbery or the robbery itself. The Ninth Circuit confirmed that 'the facts in the record' do not 'permit the necessary inference' that Petrushkin's possession emboldened or facilitated Holmes's offense. Id. at 1243.</w:t>
      </w:r>
    </w:p>
    <w:p>
      <w:r>
        <w:rPr>
          <w:b w:val="0"/>
        </w:rPr>
        <w:t>Accordingly, the (c)(1) enhancement should not apply at resentencing. The government cannot satisfy the Routon standard because there is no evidence that Petrushkin's five-second handling of the firearm had any potential to embolden or facilitate the robbery committed by Holmes.</w:t>
      </w:r>
    </w:p>
    <w:p>
      <w:pPr>
        <w:pStyle w:val="Heading2"/>
      </w:pPr>
      <w:r>
        <w:t>IV. THE (b)(6)(B) ENHANCEMENT AND GUIDELINES CALCULATION</w:t>
      </w:r>
    </w:p>
    <w:p>
      <w:r>
        <w:rPr>
          <w:b w:val="0"/>
        </w:rPr>
        <w:t>At the prior sentencing, the district court calculated an alternative Guidelines range of 77 to 96 months under the (b)(6)(B) enhancement, compared to 110 to 120 months under the (c)(1) enhancement. The plea agreement itself recommended a four-level increase under § 2K2.1(b)(6)(B). The defense submits that even if the Court applies the (b)(6)(B) enhancement, the resulting Guidelines range should be the starting point for the Court's analysis, and the § 3553(a) factors strongly support a below-Guidelines sentence of time served.</w:t>
      </w:r>
    </w:p>
    <w:p>
      <w:r>
        <w:rPr>
          <w:b w:val="0"/>
        </w:rPr>
        <w:t>Notably, the government itself requested a sentence of only 12 months and one day at the prior sentencing, which represents a substantial variance from even the lower Guidelines range of 77 to 96 months. The government's own recommendation reflects a recognition that the Guidelines ranges calculated in this case overstate the seriousness of Mr. Petrushkin's conduct.</w:t>
      </w:r>
    </w:p>
    <w:p>
      <w:pPr>
        <w:pStyle w:val="Heading2"/>
      </w:pPr>
      <w:r>
        <w:t>V. THE § 3553(a) FACTORS SUPPORT A SENTENCE OF TIME SERVED</w:t>
      </w:r>
    </w:p>
    <w:p>
      <w:r>
        <w:rPr>
          <w:b w:val="0"/>
        </w:rPr>
        <w:t>Under 18 U.S.C. § 3553(a), the Court must consider the nature and circumstances of the offense, the history and characteristics of the defendant, the need for the sentence to reflect the seriousness of the offense, promote respect for law, provide just punishment, afford adequate deterrence, and protect the public. The Supreme Court has instructed in Gall v. United States, 552 U.S. 38, 51 (2007), that calculating the incorrect Guidelines range constitutes procedural error, and that the Guidelines are merely one factor among many.</w:t>
      </w:r>
    </w:p>
    <w:p>
      <w:r>
        <w:rPr>
          <w:b w:val="0"/>
        </w:rPr>
        <w:t>The nature and circumstances of this offense strongly favor a sentence of time served. Mr. Petrushkin's conduct consisted of a single, five-second handling of a firearm that was immediately returned to the owner. He did not use the firearm in any criminal manner. He did not participate in the robbery that Holmes committed. Indeed, Holmes expressly rejected Petrushkin's offer to help. Mr. Petrushkin's involvement in this offense was minimal and peripheral.</w:t>
      </w:r>
    </w:p>
    <w:p>
      <w:r>
        <w:rPr>
          <w:b w:val="0"/>
        </w:rPr>
        <w:t>The Ninth Circuit in United States v. Carty, 520 F.3d 984, 993 (9th Cir. 2008) (en banc), instructed courts to 'consider the totality of the circumstances, including the degree of variance for a sentence imposed outside the Guidelines range' when evaluating substantive reasonableness. Here, even the government recognized that a significant variance from the Guidelines was appropriate by requesting only 12 months and one day. The defense submits that the totality of the circumstances warrants an even greater variance to time served.</w:t>
      </w:r>
    </w:p>
    <w:p>
      <w:r>
        <w:rPr>
          <w:b w:val="0"/>
        </w:rPr>
        <w:t>A sentence of time served would adequately reflect the seriousness of Mr. Petrushkin's offense while accounting for the minimal nature of his conduct. Mr. Petrushkin has already served significant time in custody, and further incarceration would be disproportionate to his culpability. A sentence of time served would also promote respect for the law by ensuring that the punishment fits the conduct, rather than imposing a sentence inflated by inapplicable enhancements.</w:t>
      </w:r>
    </w:p>
    <w:p>
      <w:r>
        <w:rPr>
          <w:b w:val="0"/>
        </w:rPr>
        <w:t>The need for deterrence is adequately addressed by the conviction itself and the time Mr. Petrushkin has already served. The public safety concern is minimal given that Mr. Petrushkin's conduct did not involve violence or any active participation in criminal activity beyond the brief handling of the firearm. The defense respectfully requests that the Court impose a sentence of time served, plus ten to twenty days to allow Mr. Petrushkin to finalize a community reentry plan, consistent with the defense's original request at the prior sentencing.</w:t>
      </w:r>
    </w:p>
    <w:p>
      <w:pPr>
        <w:pStyle w:val="Heading2"/>
      </w:pPr>
      <w:r>
        <w:t>VI. CONCLUSION</w:t>
      </w:r>
    </w:p>
    <w:p>
      <w:r>
        <w:rPr>
          <w:b w:val="0"/>
        </w:rPr>
        <w:t>For the foregoing reasons, the defense respectfully requests that the Court impose a sentence of time served, plus ten to twenty days to allow Mr. Petrushkin to finalize a community reentry plan. The Ninth Circuit has held that the (c)(1) enhancement does not apply to Mr. Petrushkin's case, and the § 3553(a) factors overwhelmingly support a sentence of time served.</w:t>
      </w:r>
    </w:p>
    <w:p/>
    <w:p>
      <w:r>
        <w:t>Respectfully submitted,</w:t>
      </w:r>
    </w:p>
    <w:p/>
    <w:p>
      <w:r>
        <w:t>Zachary L. Ayers</w:t>
      </w:r>
    </w:p>
    <w:p>
      <w:r>
        <w:t>Ayers Law Firm PLLC</w:t>
      </w:r>
    </w:p>
    <w:p>
      <w:r>
        <w:t>Spokane, Washington</w:t>
      </w:r>
    </w:p>
    <w:p>
      <w:r>
        <w:t>Counsel for Defendant Vincent Nicholas Petrushkin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