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Memorandum - NIKE, Inc. Revolving Credit Facility Review</w:t>
      </w:r>
    </w:p>
    <w:p>
      <w:r>
        <w:rPr>
          <w:b/>
        </w:rPr>
        <w:t>TO:</w:t>
        <w:tab/>
      </w:r>
      <w:r>
        <w:t>Credit Committee, Large Corporate Lending Group</w:t>
      </w:r>
    </w:p>
    <w:p>
      <w:r>
        <w:rPr>
          <w:b/>
        </w:rPr>
        <w:t>FROM:</w:t>
        <w:tab/>
      </w:r>
      <w:r>
        <w:t>Credit Analysis Group</w:t>
      </w:r>
    </w:p>
    <w:p>
      <w:r>
        <w:rPr>
          <w:b/>
        </w:rPr>
        <w:t>DATE:</w:t>
        <w:tab/>
      </w:r>
      <w:r>
        <w:t>June 2026</w:t>
      </w:r>
    </w:p>
    <w:p>
      <w:r>
        <w:rPr>
          <w:b/>
        </w:rPr>
        <w:t>RE:</w:t>
        <w:tab/>
      </w:r>
      <w:r>
        <w:t>Credit Memorandum - NIKE, Inc. (NKE) - $2.0 Billion Revolving Credit Facility Review</w:t>
      </w:r>
    </w:p>
    <w:p>
      <w:r>
        <w:t>________________________________________________________________________________</w:t>
      </w:r>
    </w:p>
    <w:p>
      <w:pPr>
        <w:pStyle w:val="Heading1"/>
      </w:pPr>
      <w:r>
        <w:t>1. Executive Summary</w:t>
      </w:r>
    </w:p>
    <w:p>
      <w:r>
        <w:rPr>
          <w:b w:val="0"/>
        </w:rPr>
        <w:t>This memorandum presents the credit analysis for NIKE, Inc. (ticker: NKE, CIK: 0000320187) in connection with the renewal of a proposed $2.0 billion revolving credit facility. NIKE is the world's largest designer, marketer, and distributor of athletic footwear, apparel, equipment, and accessories, operating in the global apparel sector. Based on our analysis of the company's recent quarterly financial performance through Q3 FY2026, we recommend approval of the facility with a risk rating of 'Investment Grade - Low Risk.'</w:t>
      </w:r>
    </w:p>
    <w:p>
      <w:r>
        <w:rPr>
          <w:b w:val="0"/>
        </w:rPr>
        <w:t>NIKE has demonstrated robust revenue generation with trailing nine-month revenue of $35.426 billion through Q3 FY2026, though quarterly trends show some variability. The company maintains a strong balance sheet with total assets of $37.064 billion and stockholders' equity of $14.090 billion as of Q3 FY2026, indicating a healthy capital structure. Cash and cash equivalents of $6.660 billion provide substantial liquidity buffer.</w:t>
      </w:r>
    </w:p>
    <w:p>
      <w:r>
        <w:rPr>
          <w:b w:val="0"/>
        </w:rPr>
        <w:t>Key credit strengths include NIKE's dominant market position, strong brand equity, and consistent profitability with net income of $2.039 billion for the nine months ending Q3 FY2026. Primary risks involve quarterly revenue volatility and competitive pressures in the athletic apparel industry. The facility is recommended with standard investment-grade covenants including leverage ratio and interest coverage requirements.</w:t>
      </w:r>
    </w:p>
    <w:p>
      <w:pPr>
        <w:pStyle w:val="Heading1"/>
      </w:pPr>
      <w:r>
        <w:t>2. Business Overview</w:t>
      </w:r>
    </w:p>
    <w:p>
      <w:r>
        <w:rPr>
          <w:b w:val="0"/>
        </w:rPr>
        <w:t>NIKE, Inc. operates as the preeminent global player in the athletic footwear and apparel industry. The company's financial scale, evidenced by nine-month revenues exceeding $35 billion, confirms its position as the sector leader by a significant margin. NIKE's business model centers on design innovation, global brand marketing, and a diversified distribution network spanning wholesale, direct-to-consumer, and digital channels.</w:t>
      </w:r>
    </w:p>
    <w:p>
      <w:r>
        <w:rPr>
          <w:b w:val="0"/>
        </w:rPr>
        <w:t>As an apparel sector company, NIKE's operations are sensitive to consumer discretionary spending patterns, fashion trends, and athletic participation rates. The company's brand strength, represented by the iconic Swoosh logo and endorsements with elite athletes worldwide, provides significant pricing power and customer loyalty that underpin its market leadership.</w:t>
      </w:r>
    </w:p>
    <w:p>
      <w:r>
        <w:rPr>
          <w:b w:val="0"/>
        </w:rPr>
        <w:t>The recent financial data demonstrates NIKE's ability to maintain substantial gross margins despite operating in a competitive industry. The company's nine-month gross profit of $14.518 billion on revenues of $35.426 billion reflects both brand premium and operational efficiency in its supply chain management. This scale provides NIKE with meaningful advantages in sourcing, marketing spend leverage, and research and development investment relative to competitors.</w:t>
      </w:r>
    </w:p>
    <w:p>
      <w:pPr>
        <w:pStyle w:val="Heading1"/>
      </w:pPr>
      <w:r>
        <w:t>3. Financial Analysis</w:t>
      </w:r>
    </w:p>
    <w:p>
      <w:r>
        <w:rPr>
          <w:b w:val="0"/>
        </w:rPr>
        <w:t>Revenue Performance: NIKE generated total revenue of $35.426 billion for the nine months through Q3 FY2026. Quarterly analysis reveals revenue of $11.720 billion in Q1 FY2026, $12.427 billion in Q2 FY2026, and $11.279 billion in Q3 FY2026. The sequential decline from Q2 to Q3 represents a 9.2% decrease, though this may reflect seasonal patterns in athletic apparel demand. The nine-month total demonstrates the company's continued ability to generate over $11 billion in quarterly revenue.</w:t>
      </w:r>
    </w:p>
    <w:p>
      <w:r>
        <w:rPr>
          <w:b w:val="0"/>
        </w:rPr>
        <w:t>Gross Profit Margin: NIKE's gross margins remain strong, with nine-month gross profit of $14.518 billion on $35.426 billion revenue, yielding a 41.0% gross margin. Quarterly margins were 42.2% in Q1, 40.6% in Q2, and 40.2% in Q3 FY2026, showing slight compression through the period. The cost of goods sold for the nine months totaled $20.908 billion, representing 59.0% of revenue.</w:t>
      </w:r>
    </w:p>
    <w:p>
      <w:r>
        <w:rPr>
          <w:b w:val="0"/>
        </w:rPr>
        <w:t>Operating Expense Management: Selling, general and administrative expenses totaled $12.032 billion for the nine months through Q3 FY2026, representing 34.0% of revenue. Quarterly SG&amp;A expenses were $4.016 billion in Q1, $4.039 billion in Q2, and $3.977 billion in Q3, indicating disciplined cost control. The SG&amp;A to revenue ratio shows management focus on expense discipline.</w:t>
      </w:r>
    </w:p>
    <w:p>
      <w:r>
        <w:rPr>
          <w:b w:val="0"/>
        </w:rPr>
        <w:t>Net Income and Profitability: Net income for the nine months through Q3 FY2026 was $2.039 billion, representing a net margin of 5.8%. Quarterly net income was $727 million in Q1, $792 million in Q2, and $520 million in Q3. The diluted earnings per share followed a similar trajectory at $0.49, $0.53, and $0.35 respectively, with the nine-month total of $1.38 per share. The Q3 net income decline warrants monitoring but appears linked to the revenue decrease rather than structural margin deterioration.</w:t>
      </w:r>
    </w:p>
    <w:p>
      <w:r>
        <w:rPr>
          <w:b w:val="0"/>
        </w:rPr>
        <w:t>Liquidity and Capital Structure: As of Q3 FY2026, NIKE maintained cash and cash equivalents of $6.660 billion against total assets of $37.064 billion, representing an 18.0% cash-to-assets ratio. Total stockholders' equity stood at $14.090 billion, indicating a debt-to-equity ratio (implied by assets minus equity) of approximately 1.63 to 1. The company's asset base grew from $36.579 billion at FY2025 to $37.064 billion, demonstrating continued investment in the business.</w:t>
      </w:r>
    </w:p>
    <w:p>
      <w:r>
        <w:rPr>
          <w:b w:val="0"/>
        </w:rPr>
        <w:t>Balance Sheet Strength: NIKE's balance sheet shows consistent asset growth from $36.579 billion at FY2025 to $37.787 billion in Q2 FY2026 before settling at $37.064 billion in Q3. Stockholders' equity remained stable in the $13.468 to $14.090 billion range, while cash decreased modestly from $7.464 billion at FY2025 to $6.660 billion in Q3, reflecting typical operating cash flow patterns and potential shareholder returns.</w:t>
      </w:r>
    </w:p>
    <w:p>
      <w:pPr>
        <w:pStyle w:val="Heading1"/>
      </w:pPr>
      <w:r>
        <w:t>4. Risk Assessment</w:t>
      </w:r>
    </w:p>
    <w:p>
      <w:r>
        <w:rPr>
          <w:b w:val="0"/>
        </w:rPr>
        <w:t>Revenue Concentration and Volatility: The quarterly revenue data reveals meaningful variability, with Q3 FY2026 revenue of $11.279 billion representing a 9.2% decline from Q2's $12.427 billion. While seasonal factors may contribute, this volatility creates planning challenges and highlights the company's exposure to consumer spending patterns. The apparel sector is inherently cyclical, and NIKE's performance is tied to discretionary consumer spending which can contract sharply during economic downturns.</w:t>
      </w:r>
    </w:p>
    <w:p>
      <w:r>
        <w:rPr>
          <w:b w:val="0"/>
        </w:rPr>
        <w:t>Margin Pressure: Although gross margins remain above 40%, the slight compression from 42.2% in Q1 to 40.2% in Q3 warrants attention. Rising input costs, supply chain disruptions, and promotional pricing pressures could further erode margins. SG&amp;A expenses, while controlled, represent a significant fixed cost structure that could pressure net margins if revenue growth stalls.</w:t>
      </w:r>
    </w:p>
    <w:p>
      <w:r>
        <w:rPr>
          <w:b w:val="0"/>
        </w:rPr>
        <w:t>Competitive Dynamics: The athletic apparel industry faces intense competition from established players like Adidas, emerging brands, and private label offerings. NIKE's market leadership, while strong, requires continuous investment in innovation, marketing, and digital capabilities. Failure to maintain brand relevance could accelerate market share erosion and margin compression.</w:t>
      </w:r>
    </w:p>
    <w:p>
      <w:r>
        <w:rPr>
          <w:b w:val="0"/>
        </w:rPr>
        <w:t>Macroeconomic Sensitivity: As a consumer discretionary company, NIKE's performance is sensitive to macroeconomic conditions including employment levels, consumer confidence, and disposable income trends. Economic contraction in key markets including North America, Europe, and China could significantly impact revenue and profitability. Currency fluctuations in international markets present additional risk to reported financial results.</w:t>
      </w:r>
    </w:p>
    <w:p>
      <w:r>
        <w:rPr>
          <w:b w:val="0"/>
        </w:rPr>
        <w:t>Leverage and Liquidity Considerations: While the current balance sheet shows adequate liquidity with $6.660 billion cash, the implied debt-to-equity ratio of approximately 1.63 to 1 suggests moderate leverage. The company's ability to maintain investment-grade credit metrics depends on sustaining revenue growth and profitability margins above current levels.</w:t>
      </w:r>
    </w:p>
    <w:p>
      <w:pPr>
        <w:pStyle w:val="Heading1"/>
      </w:pPr>
      <w:r>
        <w:t>5. Credit Recommendation</w:t>
      </w:r>
    </w:p>
    <w:p>
      <w:r>
        <w:rPr>
          <w:b w:val="0"/>
        </w:rPr>
        <w:t>Based on our comprehensive analysis, we recommend approval of the $2.0 billion revolving credit facility for NIKE, Inc. with a risk rating of Investment Grade Low Risk. This recommendation reflects NIKE's dominant market position, strong brand equity, robust revenue generation, and solid balance sheet fundamentals.</w:t>
      </w:r>
    </w:p>
    <w:p>
      <w:r>
        <w:rPr>
          <w:b w:val="0"/>
        </w:rPr>
        <w:t>Key credit strengths supporting approval include: (1) Market leadership with nine-month revenues of $35.426 billion demonstrating scale advantages; (2) Strong gross margins above 40% indicating brand pricing power; (3) Adequate liquidity with cash of $6.660 billion; (4) Consistent profitability with net income of $2.039 billion through Q3 FY2026; (5) Stable equity base of $14.090 billion.</w:t>
      </w:r>
    </w:p>
    <w:p>
      <w:r>
        <w:rPr>
          <w:b w:val="0"/>
        </w:rPr>
        <w:t>Recommended covenants for the facility include: (1) Maximum total leverage ratio (Debt to EBITDA) not to exceed 3.0x; (2) Minimum interest coverage ratio (EBITDA to Interest) of at least 4.0x; (3) Minimum stockholders' equity of $12.0 billion; (4) Maximum annual capital expenditures limitation; (5) Standard negative pledge and change of control provisions.</w:t>
      </w:r>
    </w:p>
    <w:p>
      <w:r>
        <w:rPr>
          <w:b w:val="0"/>
        </w:rPr>
        <w:t>Monitoring triggers should include quarterly review of: (1) Revenue trends flagging if quarterly revenue declines exceed 10% sequentially for two consecutive quarters; (2) Gross margin compression below 38%; (3) SG&amp;A to revenue ratio exceeding 36%; (4) Cash position falling below $5.0 billion; (5) Stockholders' equity declining below $12.0 billion.</w:t>
      </w:r>
    </w:p>
    <w:p>
      <w:r>
        <w:rPr>
          <w:b w:val="0"/>
        </w:rPr>
        <w:t>The facility should be priced at LIBOR or SOFR plus 100 basis points with an unused commitment fee of 20 basis points, reflecting NIKE's investment-grade credit profile. We recommend a five-year term with two one-year extension options, subject to maintenance of specified credit metrics.</w:t>
      </w:r>
    </w:p>
    <w:p/>
    <w:p>
      <w:r>
        <w:t>Prepared by: Credit Analysis Group, Large Corporate Lending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