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 United States v. Thompson</w:t>
      </w:r>
    </w:p>
    <w:p>
      <w:r>
        <w:rPr>
          <w:b/>
        </w:rPr>
        <w:t>TO:</w:t>
        <w:tab/>
      </w:r>
      <w:r>
        <w:t>Chief, Appellate Division, EDNY</w:t>
      </w:r>
    </w:p>
    <w:p>
      <w:r>
        <w:rPr>
          <w:b/>
        </w:rPr>
        <w:t>FROM:</w:t>
        <w:tab/>
      </w:r>
      <w:r>
        <w:t>Associate, Appellate Division, EDNY</w:t>
      </w:r>
    </w:p>
    <w:p>
      <w:r>
        <w:rPr>
          <w:b/>
        </w:rPr>
        <w:t>DATE:</w:t>
        <w:tab/>
      </w:r>
      <w:r>
        <w:t>July 2025</w:t>
      </w:r>
    </w:p>
    <w:p>
      <w:r>
        <w:rPr>
          <w:b/>
        </w:rPr>
        <w:t>RE:</w:t>
        <w:tab/>
      </w:r>
      <w:r>
        <w:t>Analysis of United States v. Thompson, 143 F.4th 169 (2d Cir. 2025)</w:t>
      </w:r>
    </w:p>
    <w:p>
      <w:r>
        <w:t>________________________________________________________________________________</w:t>
      </w:r>
    </w:p>
    <w:p>
      <w:pPr>
        <w:pStyle w:val="Heading1"/>
      </w:pPr>
      <w:r>
        <w:t>I. Case Summary</w:t>
      </w:r>
    </w:p>
    <w:p>
      <w:r>
        <w:rPr>
          <w:b w:val="0"/>
        </w:rPr>
        <w:t>This memorandum analyzes the Second Circuit's decision in United States v. Thompson, 143 F.4th 169 (2d Cir. 2025), which affirmed the district court's imposition of special conditions of supervised release and upheld an appellate waiver in a plea agreement. The case provides guidance on procedural requirements for sentencing and the enforceability of plea waivers.</w:t>
      </w:r>
    </w:p>
    <w:p>
      <w:r>
        <w:rPr>
          <w:b w:val="0"/>
        </w:rPr>
        <w:t>On June 6, 2022, New York City Police Department officers responded to a 911 call reporting a gun pointed at a caller on a subway car in Jackson Heights, Queens. Officers found the caller, who stated that Kenneth Thompson had pulled a gun from his waistband and pointed it at him after an argument. When ordered to stop, Thompson fled, dropping a black plastic bag into a trash can. The bag contained a loaded Norinco .45 caliber automatic pistol and loose rounds of ammunition.</w:t>
      </w:r>
    </w:p>
    <w:p>
      <w:r>
        <w:rPr>
          <w:b w:val="0"/>
        </w:rPr>
        <w:t>Thompson was charged with being a felon in possession of a firearm and ammunition in violation of 18 U.S.C. §§ 922(g)(1) and 924(a)(2). On April 18, 2023, before Magistrate Judge Ramon E. Reyes, Jr., Thompson pled guilty pursuant to a plea agreement that included an appellate waiver. The plea agreement barred Thompson from appealing his conviction or sentence if the prison term did not exceed 41 months.</w:t>
      </w:r>
    </w:p>
    <w:p>
      <w:r>
        <w:rPr>
          <w:b w:val="0"/>
        </w:rPr>
        <w:t>On May 22, 2023, District Judge Diane Gujarati accepted Thompson's guilty plea, finding it knowing and voluntary. The Presentence Investigation Report (PSR) detailed Thompson's criminal history, including four felony convictions: (1) 1982 rape in the first degree, (2) 2000 attempted rape in the first degree, (3) 1982 robbery in the first degree, and (4) 1980 attempted burglary in the third degree, plus a 2016 misdemeanor conviction for forcible touching.</w:t>
      </w:r>
    </w:p>
    <w:p>
      <w:r>
        <w:rPr>
          <w:b w:val="0"/>
        </w:rPr>
        <w:t>The district court sentenced Thompson to thirty-seven months of imprisonment, followed by a two-year term of supervised release. The court also imposed three special conditions of supervised release: (i) a search condition requiring Thompson to submit to reasonable searches of his person, property, residence, vehicle, and electronic devices upon reasonable suspicion of a supervision violation; (ii) compliance with sex offender registration requirements; and (iii) a mental health evaluation and treatment if necessary.</w:t>
      </w:r>
    </w:p>
    <w:p>
      <w:r>
        <w:rPr>
          <w:b w:val="0"/>
        </w:rPr>
        <w:t>Thompson appealed, arguing the district court procedurally erred by failing to make an individualized assessment and state reasons on the record for the special conditions. He also raised pro se claims of ineffective assistance of counsel and involuntary plea, attempting to challenge his Guidelines calculation and the constitutionality of 18 U.S.C. § 922(g)(1). The Second Circuit affirmed.</w:t>
      </w:r>
    </w:p>
    <w:p>
      <w:pPr>
        <w:pStyle w:val="Heading1"/>
      </w:pPr>
      <w:r>
        <w:t>II. Issue One: Procedural Requirements for Special Conditions of Supervised Release</w:t>
      </w:r>
    </w:p>
    <w:p>
      <w:r>
        <w:rPr>
          <w:b w:val="0"/>
        </w:rPr>
        <w:t>The Second Circuit addressed Thompson's procedural challenge to the three special conditions in two parts. First, the court concluded that Thompson waived any challenge to the mental health treatment condition. The record showed Thompson consented to its imposition during the plea proceedings. This consent waived the argument that the district court failed to make an individualized assessment or state reasons for that specific condition.</w:t>
      </w:r>
    </w:p>
    <w:p>
      <w:r>
        <w:rPr>
          <w:b w:val="0"/>
        </w:rPr>
        <w:t>For the remaining two conditions—the search condition and the sex offender registration condition—the court applied the standard that a district court must make an individualized assessment of the need for special conditions and state its reasons on the record. The court held that the district court met this standard for both conditions.</w:t>
      </w:r>
    </w:p>
    <w:p>
      <w:r>
        <w:rPr>
          <w:b w:val="0"/>
        </w:rPr>
        <w:t>Regarding the search condition, the court found the district court's reasoning amply supported by the record. Thompson's criminal history included four felony convictions spanning from 1980 to 2000, and a 2016 misdemeanor for forcible touching. This extensive history of serious offenses, including violent and sexual crimes, justified heightened supervision through a search condition to ensure compliance with supervised release terms.</w:t>
      </w:r>
    </w:p>
    <w:p>
      <w:r>
        <w:rPr>
          <w:b w:val="0"/>
        </w:rPr>
        <w:t>Regarding the sex offender registration condition, the court again found adequate individualized assessment and reasoning. Thompson's 1982 rape conviction and 2000 attempted rape conviction, along with the 2016 forcible touching conviction, provided a sufficient factual basis for requiring compliance with sex offender registration. The condition was tailored to Thompson's specific history of sexual offenses.</w:t>
      </w:r>
    </w:p>
    <w:p>
      <w:r>
        <w:rPr>
          <w:b w:val="0"/>
        </w:rPr>
        <w:t>The court emphasized that the district court's reasoning was amply supported by the record. The PSR's detailed criminal history provided the necessary factual foundation. The court rejected Thompson's argument that the district court failed to state its reasons, holding that the record demonstrated an individualized assessment linked to Thompson's specific circumstances and risk factors.</w:t>
      </w:r>
    </w:p>
    <w:p>
      <w:pPr>
        <w:pStyle w:val="Heading1"/>
      </w:pPr>
      <w:r>
        <w:t>III. Issue Two: Enforceability of the Appellate Waiver</w:t>
      </w:r>
    </w:p>
    <w:p>
      <w:r>
        <w:rPr>
          <w:b w:val="0"/>
        </w:rPr>
        <w:t>The Second Circuit also addressed Thompson's pro se arguments, which included claims of ineffective assistance of counsel, an involuntary plea, an erroneous Guidelines calculation, and a Second Amendment challenge to 18 U.S.C. § 922(g)(1). The court held that most of these arguments were barred by the appellate waiver in Thompson's plea agreement.</w:t>
      </w:r>
    </w:p>
    <w:p>
      <w:r>
        <w:rPr>
          <w:b w:val="0"/>
        </w:rPr>
        <w:t>The appellate waiver provided: "The defendant agrees not to file an appeal or otherwise challenge, by petition pursuant to 28 U.S.C. § 2255 or any other provision, the conviction or sentence in the event that the Court imposes a term of imprisonment of 41 months or below." The waiver was "binding without regard to the sentencing analysis used by the Court." It further waived "the right to raise on appeal or on collateral review any argument that (a) the statutes to which the defendant is pleading guilty are unconstitutional and (b) the admitted conduct does not fall within the scope of the statutes." However, the waiver did not preclude raising a claim of ineffective assistance of counsel in an appropriate forum.</w:t>
      </w:r>
    </w:p>
    <w:p>
      <w:r>
        <w:rPr>
          <w:b w:val="0"/>
        </w:rPr>
        <w:t>During the plea hearing before Magistrate Judge Reyes, Thompson confirmed he read and understood the plea agreement and discussed it with counsel. The magistrate judge specifically asked: "You . . . have agreed in the plea agreement that if you are sentenced to 41 months or less, that you will not appeal or otherwise challenge your conviction or your sentence. Do you understand?" Thompson confirmed he did.</w:t>
      </w:r>
    </w:p>
    <w:p>
      <w:r>
        <w:rPr>
          <w:b w:val="0"/>
        </w:rPr>
        <w:t>Because Thompson's sentence of thirty-seven months did not exceed the 41-month threshold, the appellate waiver was triggered. The court declined to consider Thompson's ineffective assistance of counsel claim, not because it was waived, but because the court determined it was not appropriately raised on direct appeal. The court held that the district court sufficiently ensured Thompson's plea was voluntary and knowing.</w:t>
      </w:r>
    </w:p>
    <w:p>
      <w:r>
        <w:rPr>
          <w:b w:val="0"/>
        </w:rPr>
        <w:t>Thompson's remaining challenges—to the Guidelines calculation and the constitutionality of 18 U.S.C. § 922(g)(1)—were squarely barred by the appellate waiver. The waiver expressly covered challenges to the sentencing analysis and constitutional challenges to the statutes of conviction. The court therefore held it lacked jurisdiction to consider these arguments.</w:t>
      </w:r>
    </w:p>
    <w:p>
      <w:pPr>
        <w:pStyle w:val="Heading1"/>
      </w:pPr>
      <w:r>
        <w:t>IV. Practical Guidance for AUSAs</w:t>
      </w:r>
    </w:p>
    <w:p>
      <w:r>
        <w:rPr>
          <w:b w:val="0"/>
        </w:rPr>
        <w:t>Based on the Second Circuit's analysis in Thompson, AUSAs should follow these practices when handling sentencing proceedings and plea negotiations in the Eastern District.</w:t>
      </w:r>
    </w:p>
    <w:p>
      <w:r>
        <w:rPr>
          <w:b w:val="0"/>
        </w:rPr>
        <w:t>First, when recommending or arguing for special conditions of supervised release, ensure the district court makes an individualized assessment on the record. The Thompson decision demonstrates that the court will look for specific reasoning tied to the defendant's criminal history and circumstances. AUSAs should be prepared to cite specific entries from the Presentence Investigation Report that justify each proposed condition, such as prior felony convictions for sexual offenses supporting a sex offender registration condition.</w:t>
      </w:r>
    </w:p>
    <w:p>
      <w:r>
        <w:rPr>
          <w:b w:val="0"/>
        </w:rPr>
        <w:t>Second, when drafting plea agreements that include appellate waivers, use explicit and comprehensive language. The waiver in Thompson effectively barred challenges to the sentence (within the agreed range), Guidelines calculations, and constitutional challenges to the statutes of conviction. Include language waiving challenges based on sentencing analysis and constitutional arguments, as the waiver in this case did.</w:t>
      </w:r>
    </w:p>
    <w:p>
      <w:r>
        <w:rPr>
          <w:b w:val="0"/>
        </w:rPr>
        <w:t>Third, during the plea colloquy, ensure the magistrate judge specifically addresses the appellate waiver and confirms the defendant's understanding. The record in Thompson showed the magistrate judge asked Thompson directly about the waiver, and Thompson confirmed understanding. This confirmation was critical to the waiver's enforceability.</w:t>
      </w:r>
    </w:p>
    <w:p>
      <w:r>
        <w:rPr>
          <w:b w:val="0"/>
        </w:rPr>
        <w:t>Fourth, note that appellate waivers do not bar ineffective assistance of counsel claims. The Thompson plea agreement expressly preserved such claims. AUSAs should not attempt to include waivers of ineffective assistance claims, as they are generally unenforceable and, as here, the court will decline to consider them on direct appeal regardless.</w:t>
      </w:r>
    </w:p>
    <w:p>
      <w:r>
        <w:rPr>
          <w:b w:val="0"/>
        </w:rPr>
        <w:t>Finally, maintain a complete record for appellate review. The Second Circuit affirmed the district court's special conditions in part because the record, including the PSR's criminal history, amply supported the court's reasoning. A comprehensive record strengthens the government's position on appeal.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