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Memo - Mitek v. USAA Jurisdictional Analysis</w:t>
      </w:r>
    </w:p>
    <w:p>
      <w:r>
        <w:rPr>
          <w:b/>
        </w:rPr>
        <w:t>TO:</w:t>
        <w:tab/>
      </w:r>
      <w:r>
        <w:t>Partner</w:t>
      </w:r>
    </w:p>
    <w:p>
      <w:r>
        <w:rPr>
          <w:b/>
        </w:rPr>
        <w:t>FROM:</w:t>
        <w:tab/>
      </w:r>
      <w:r>
        <w:t>Senior Associate</w:t>
      </w:r>
    </w:p>
    <w:p>
      <w:r>
        <w:rPr>
          <w:b/>
        </w:rPr>
        <w:t>DATE:</w:t>
        <w:tab/>
      </w:r>
      <w:r>
        <w:t>June 12, 2025</w:t>
      </w:r>
    </w:p>
    <w:p>
      <w:r>
        <w:rPr>
          <w:b/>
        </w:rPr>
        <w:t>RE:</w:t>
        <w:tab/>
      </w:r>
      <w:r>
        <w:t>Legal Memorandum - Mitek Systems, Inc. v. United Services Automobile Association, 139 F.4th 1340 (Fed. Cir. 2025)</w:t>
      </w:r>
    </w:p>
    <w:p>
      <w:r>
        <w:t>________________________________________________________________________________</w:t>
      </w:r>
    </w:p>
    <w:p>
      <w:pPr>
        <w:pStyle w:val="Heading1"/>
      </w:pPr>
      <w:r>
        <w:t>Case Background and Procedural History</w:t>
      </w:r>
    </w:p>
    <w:p>
      <w:r>
        <w:rPr>
          <w:b w:val="0"/>
        </w:rPr>
        <w:t>This memorandum analyzes the Federal Circuit's decision in Mitek Systems, Inc. v. United Services Automobile Association, 139 F.4th 1340 (Fed. Cir. 2025), which affirmed the district court's dismissal of Mitek's declaratory judgment action. The plaintiff-appellant, Mitek Systems, Inc. (Mitek), sought a declaration of non-infringement against the defendant-appellee, United Services Automobile Association (USAA), concerning four patents: U.S. Patent Nos. 8,699,779, 9,336,517, 9,818,090, and 8,977,571 (collectively, the patents-in-suit). Mitek develops and licenses MiSnap, a software development kit that provides automatic image capture technology for incorporation into financial institutions' mobile banking applications.</w:t>
      </w:r>
    </w:p>
    <w:p>
      <w:r>
        <w:rPr>
          <w:b w:val="0"/>
        </w:rPr>
        <w:t>The case originated in the United States District Court for the Eastern District of Texas (Case No. 2:20-cv-00115-JRG) before Chief Judge J. Rodney Gilstrap. Mitek filed its declaratory judgment complaint in late 2019, during the trial of a separate infringement action brought by USAA against Wells Fargo, N.A., one of Mitek's customers, under Case No. 2:18-cv-00245. The Wells Fargo suit settled in early 2021.</w:t>
      </w:r>
    </w:p>
    <w:p>
      <w:r>
        <w:rPr>
          <w:b w:val="0"/>
        </w:rPr>
        <w:t>The district court originally dismissed Mitek's complaint. In the first appeal, Mitek Systems, Inc. v. United Services Automobile Association, 34 F.4th 1334 (Fed. Cir. 2022) (Mitek I), the Federal Circuit vacated the dismissal for lack of subject-matter jurisdiction, as well as the alternative discretionary dismissal, and remanded for further proceedings. The court instructed the district court to conduct a 'finer parsing of the issues and more particularized determinations' and to identify whether USAA's Rule 12(b)(1) motion was a facial or factual challenge. 34 F.4th at 1342. On remand, the district court ordered extensive briefing, determined USAA's motion was a factual challenge, and again dismissed the case, finding no case or controversy existed and declining jurisdiction in the alternative. Mitek now appeals that decision.</w:t>
      </w:r>
    </w:p>
    <w:p>
      <w:pPr>
        <w:pStyle w:val="Heading1"/>
      </w:pPr>
      <w:r>
        <w:t>Subject-Matter Jurisdiction Analysis</w:t>
      </w:r>
    </w:p>
    <w:p>
      <w:r>
        <w:rPr>
          <w:b w:val="0"/>
        </w:rPr>
        <w:t>The Federal Circuit's analysis centered on whether a case or controversy existed under the Declaratory Judgment Act, 28 U.S.C. § 2201, which requires an actual controversy. The court first addressed the procedural posture of USAA's Rule 12(b)(1) motion. Applying the Fifth Circuit's framework, the district court correctly determined that USAA's motion, supported by affidavits and other evidence, constituted a factual attack on jurisdiction. See Superior MRI Services, Inc. v. Alliance Healthcare Services, Inc., 778 F.3d 502, 504 (5th Cir. 2015). In response to a factual challenge, Mitek bore the burden to prove the existence of subject-matter jurisdiction by a preponderance of the evidence.</w:t>
      </w:r>
    </w:p>
    <w:p>
      <w:r>
        <w:rPr>
          <w:b w:val="0"/>
        </w:rPr>
        <w:t>Mitek advanced two jurisdictional bases. The first was its potential liability for infringement. Consistent with Mitek I's directive, the district court's primary task was to ascertain the alleged role of the Mitek technology in the banks' applications and the alleged role that the Mitek technology plays in infringement claims. 34 F.4th at 1344. On direct infringement, the district court found Mitek could not have reasonably apprehended a suit. This finding rested on the parties' own admissions about how the MiSnap product works, how it is implemented by end-user banks, and the evidence presented at trial in the Wells Fargo Case. 139 F.4th at 1345.</w:t>
      </w:r>
    </w:p>
    <w:p>
      <w:r>
        <w:rPr>
          <w:b w:val="0"/>
        </w:rPr>
        <w:t>Regarding induced infringement, the court found the precedent in Microsoft Corp. v. DataTern, Inc., 755 F.3d 899 (Fed. Cir. 2014), persuasive. As in DataTern, USAA had never identified Mitek documents or manuals instructing MiSnap users to perform all the limitations of any asserted patent claim. 139 F.4th at 1345. As to contributory infringement, the district court found no suggestion that MiSnap is not suitable for substantial non-infringing uses or that Mitek knew its software was especially made or adapted for use in an infringement of USAA's patents. 139 F.4th at 1345. Thus, Mitek failed to establish a case or controversy for any type of infringement.</w:t>
      </w:r>
    </w:p>
    <w:p>
      <w:r>
        <w:rPr>
          <w:b w:val="0"/>
        </w:rPr>
        <w:t>Mitek's second jurisdictional basis was indemnification liability arising from demands made by its licensees after USAA sent them letters. The court emphasized that the character of the indemnity demands received and the precise scope of the corresponding indemnity agreements may bear heavily on the sufficiency of Mitek's indemnity-based interest. 34 F.4th at 1346. On remand, the district court reviewed a sample letter from USAA and several indemnification agreements, concluding they do not create a reasonable potential for Mitek's indemnification liability. 139 F.4th at 1346.</w:t>
      </w:r>
    </w:p>
    <w:p>
      <w:r>
        <w:rPr>
          <w:b w:val="0"/>
        </w:rPr>
        <w:t>Finally, the Federal Circuit noted that post-filing events can inform whether a case or controversy ceased to exist later. 34 F.4th at 1344. The district court concluded that any apprehension of suit was unreasonable and that any controversy was extinguished after USAA's settlement with Wells Fargo in early 2021. 139 F.4th at 1345. The Federal Circuit agreed with these findings, affirming that no case or controversy existed.</w:t>
      </w:r>
    </w:p>
    <w:p>
      <w:pPr>
        <w:pStyle w:val="Heading1"/>
      </w:pPr>
      <w:r>
        <w:t>Discretionary Dismissal Analysis</w:t>
      </w:r>
    </w:p>
    <w:p>
      <w:r>
        <w:rPr>
          <w:b w:val="0"/>
        </w:rPr>
        <w:t>Even if subject-matter jurisdiction existed, a district court has discretion to decline to entertain a declaratory judgment action. In Mitek I, the Federal Circuit vacated the original discretionary dismissal because the district court failed to provide reasons independent of its reasons for its jurisdictional dismissal. 34 F.4th at 1347. On remand, the district court provided such independent reasons.</w:t>
      </w:r>
    </w:p>
    <w:p>
      <w:r>
        <w:rPr>
          <w:b w:val="0"/>
        </w:rPr>
        <w:t>The district court acknowledged that Mitek is likely in the best position to defend its own software, but concluded that the declaratory judgment suit is not the best way for Mitek to do so. 139 F.4th at 1346. It suggested that Mitek could intervene in existing or future infringement suits brought by USAA against Mitek's bank customers, a route the district court found preferable. This analysis was consistent with Mitek I's instruction that the district court consider the route of intervention in one or more USAA suits against Mitek customers. 34 F.4th at 1347-48.</w:t>
      </w:r>
    </w:p>
    <w:p>
      <w:r>
        <w:rPr>
          <w:b w:val="0"/>
        </w:rPr>
        <w:t>The Federal Circuit reviewed the district court's discretionary decision for abuse of discretion. It affirmed, concluding that the district court's reasoning was independent of its jurisdictional analysis and represented a permissible exercise of its discretion under the circumstances of the case.</w:t>
      </w:r>
    </w:p>
    <w:p>
      <w:pPr>
        <w:pStyle w:val="Heading1"/>
      </w:pPr>
      <w:r>
        <w:t>Key Holdings and Reasoning</w:t>
      </w:r>
    </w:p>
    <w:p>
      <w:r>
        <w:rPr>
          <w:b w:val="0"/>
        </w:rPr>
        <w:t>The Federal Circuit issued two holdings. First, it affirmed the district court's determination that it lacked subject-matter jurisdiction over Mitek's declaratory judgment action. The court agreed that Mitek had not demonstrated a case or controversy under 28 U.S.C. § 2201 regarding potential infringement liability or indemnification liability, and that any such controversy had been extinguished by the settlement of the Wells Fargo litigation in 2021.</w:t>
      </w:r>
    </w:p>
    <w:p>
      <w:r>
        <w:rPr>
          <w:b w:val="0"/>
        </w:rPr>
        <w:t>Second, as an alternative holding, the Federal Circuit affirmed the district court's exercise of discretion to decline jurisdiction. The court found no abuse of discretion in the district court's independent reasoning that a declaratory judgment action was not the appropriate vehicle for Mitek to defend its software, and that intervention in customer suits was a preferable alternative.</w:t>
      </w:r>
    </w:p>
    <w:p>
      <w:r>
        <w:rPr>
          <w:b w:val="0"/>
        </w:rPr>
        <w:t>The decision was issued by a panel consisting of Circuit Judges Taranto, Schall, and Chen. The opinion was authored by Judge Chen.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