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Behler v. Tao</w:t>
      </w:r>
    </w:p>
    <w:p>
      <w:r>
        <w:rPr>
          <w:b/>
        </w:rPr>
        <w:t>TO:</w:t>
        <w:tab/>
      </w:r>
      <w:r>
        <w:t>Senior Partner</w:t>
      </w:r>
    </w:p>
    <w:p>
      <w:r>
        <w:rPr>
          <w:b/>
        </w:rPr>
        <w:t>FROM:</w:t>
        <w:tab/>
      </w:r>
      <w:r>
        <w:t>Associate</w:t>
      </w:r>
    </w:p>
    <w:p>
      <w:r>
        <w:rPr>
          <w:b/>
        </w:rPr>
        <w:t>DATE:</w:t>
        <w:tab/>
      </w:r>
      <w:r>
        <w:t>February 2025</w:t>
      </w:r>
    </w:p>
    <w:p>
      <w:r>
        <w:rPr>
          <w:b/>
        </w:rPr>
        <w:t>RE:</w:t>
        <w:tab/>
      </w:r>
      <w:r>
        <w:t>Behler v. Kai-Shing Tao, 2025 NY Slip Op 00803</w:t>
      </w:r>
    </w:p>
    <w:p>
      <w:r>
        <w:t>________________________________________________________________________________</w:t>
      </w:r>
    </w:p>
    <w:p>
      <w:pPr>
        <w:pStyle w:val="Heading2"/>
      </w:pPr>
      <w:r>
        <w:t>Question Presented</w:t>
      </w:r>
    </w:p>
    <w:p>
      <w:r>
        <w:rPr>
          <w:b w:val="0"/>
        </w:rPr>
        <w:t>Whether a merger clause in a Delaware limited liability company (LLC) agreement supersedes an alleged prior oral agreement between the parties concerning an exit opportunity from the LLC, pursuant to Delaware law and New York procedural standards for dismissal under CPLR 3211(a)(1).</w:t>
      </w:r>
    </w:p>
    <w:p>
      <w:pPr>
        <w:pStyle w:val="Heading2"/>
      </w:pPr>
      <w:r>
        <w:t>Statement of Facts</w:t>
      </w:r>
    </w:p>
    <w:p>
      <w:r>
        <w:rPr>
          <w:b w:val="0"/>
        </w:rPr>
        <w:t>Plaintiff Albert Behler and defendant Kai-Shing Tao have been close friends for over twenty years and have often conducted business through oral agreements and representations. Defendant is the Chief Executive Officer and Chairman of the Board of Remark Holdings, Inc. (Remark), a publicly traded company, and controls Delaware-incorporated Digipac LLC (Digipac). In 2012, defendant asked plaintiff to invest in Remark by investing in Digipac. Plaintiff was concerned about the difficulty in liquidating LLC shares and wanted to invest directly in Remark.</w:t>
      </w:r>
    </w:p>
    <w:p>
      <w:r>
        <w:rPr>
          <w:b w:val="0"/>
        </w:rPr>
        <w:t>The parties entered into an oral agreement whereby plaintiff promised to invest $3 million in Digipac and defendant promised to provide an exit opportunity. The exit would occur in one of two ways: (1) if Remark's share price hit $50, defendant would cause Digipac to sell its Remark shares and distribute proceeds to plaintiff based on his pro rata share; or (2) if the price never reached $50, defendant would provide an exit opportunity based on the value of Digipac's Remark holdings on the fifth anniversary of plaintiff's initial investment.</w:t>
      </w:r>
    </w:p>
    <w:p>
      <w:r>
        <w:rPr>
          <w:b w:val="0"/>
        </w:rPr>
        <w:t>Plaintiff wired an initial investment of $1.5 million to Digipac in November 2012 and the remaining $1.5 million in October 2013, becoming a member of Digipac. At the time of the oral agreement, Digipac was governed by its original LLC agreement, which designated defendant as the "Sole Member," gave the Sole Member exclusive discretion over distributions, and stated the agreement could be amended only in a writing signed by the Sole Member.</w:t>
      </w:r>
    </w:p>
    <w:p>
      <w:r>
        <w:rPr>
          <w:b w:val="0"/>
        </w:rPr>
        <w:t>In June 2014, defendant unilaterally amended the original LLC agreement in a signed writing. The amended LLC agreement governed management, profits, losses, distributions, and membership interests. It included a Delaware choice-of-law clause and a merger clause stating: "This Agreement, together with the Certificate of Formation, each Subscription Agreement and all related Exhibits and Schedules, constitutes the sole and entire agreement of the parties to this Agreement with respect to the subject matter contained herein and therein, and supersedes all prior and contemporaneous understandings, agreements, representations and warranties, both written and oral, with respect to such subject matter, including the Original Agreement."</w:t>
      </w:r>
    </w:p>
    <w:p>
      <w:r>
        <w:rPr>
          <w:b w:val="0"/>
        </w:rPr>
        <w:t>The trading price of Remark never hit $50. On the fifth anniversary of plaintiff's initial investment, defendant did not provide an exit opportunity. At that time, Remark shares were trading around $9.15 per share, giving plaintiff's investment a value of approximately $11.6 million based on Digipac's holdings.</w:t>
      </w:r>
    </w:p>
    <w:p>
      <w:r>
        <w:rPr>
          <w:b w:val="0"/>
        </w:rPr>
        <w:t>Plaintiff filed an action in Supreme Court asserting breach of contract and promissory estoppel, seeking an order directing defendant to purchase his Digipac membership for $11.6 million. Defendant moved to dismiss pursuant to CPLR 3211(a)(1) and (7). Supreme Court granted the motion, reasoning the amended LLC agreement did not provide for an automatic exit option and superseded any prior agreement, and that the oral agreement's terms were indefinite. The Appellate Division affirmed, with two Justices dissenting, holding that plaintiff was bound by the LLC agreement and its merger clause, and that promissory estoppel does not apply where an enforceable contract governs. The Court of Appeals affirmed.</w:t>
      </w:r>
    </w:p>
    <w:p>
      <w:pPr>
        <w:pStyle w:val="Heading2"/>
      </w:pPr>
      <w:r>
        <w:t>Analysis</w:t>
      </w:r>
    </w:p>
    <w:p>
      <w:r>
        <w:rPr>
          <w:b w:val="0"/>
        </w:rPr>
        <w:t>The Court of Appeals began by outlining the standard for dismissal under CPLR 3211(a)(1), where documentary evidence, such as an unambiguous contract, conclusively establishes a defense to the asserted claims as a matter of law. The court must accept the facts alleged in the complaint as true and accord plaintiff the benefit of every possible favorable inference.</w:t>
      </w:r>
    </w:p>
    <w:p>
      <w:r>
        <w:rPr>
          <w:b w:val="0"/>
        </w:rPr>
        <w:t>The court then applied Delaware law pursuant to the amended LLC agreement's choice-of-law provision. Under Delaware's Limited Liability Company Act, which aims to give the maximum effect to the principle of freedom of contract (Del. Code Ann. tit. 6, § 18-1101(b)), a member of an LLC is bound by the LLC agreement whether or not the member executes the agreement (id. § 18-101(9)). Plaintiff, as a member of Digipac, was therefore bound by the amended LLC agreement regardless of whether he signed it.</w:t>
      </w:r>
    </w:p>
    <w:p>
      <w:r>
        <w:rPr>
          <w:b w:val="0"/>
        </w:rPr>
        <w:t>Delaware courts construe LLC agreements as any other contract, and if its terms are unambiguous, the agreement should be interpreted according to its plain meaning. The court found that the merger clause in the amended LLC agreement unambiguously and explicitly nullifies prior "written and oral" agreements between the parties on the same subject matter.</w:t>
      </w:r>
    </w:p>
    <w:p>
      <w:r>
        <w:rPr>
          <w:b w:val="0"/>
        </w:rPr>
        <w:t>The court addressed the subject matter of the two agreements. The amended LLC agreement governed the liquidation and distribution of plaintiff's interest in Digipac, which was the same subject matter as the oral agreement. Therefore, the amended LLC agreement superseded the oral agreement under the merger clause's explicit language.</w:t>
      </w:r>
    </w:p>
    <w:p>
      <w:r>
        <w:rPr>
          <w:b w:val="0"/>
        </w:rPr>
        <w:t>Regarding the promissory estoppel claim, the court held that under Delaware law, promissory estoppel does not apply where an enforceable contract governs the promise at issue. Even if New York law applied, the promissory estoppel claim would be dismissed because it was duplicative of plaintiff's breach of contract claim.</w:t>
      </w:r>
    </w:p>
    <w:p>
      <w:r>
        <w:rPr>
          <w:b w:val="0"/>
        </w:rPr>
        <w:t>The court rejected the dissent's arguments that the agreements were different in focus and subject matter and involved different parties. The court noted that plaintiff sued defendant in his individual capacity, but the subject matter of both agreements concerned the same topic: the liquidation and distribution of plaintiff's interest in Digipac.</w:t>
      </w:r>
    </w:p>
    <w:p>
      <w:pPr>
        <w:pStyle w:val="Heading2"/>
      </w:pPr>
      <w:r>
        <w:t>Conclusion</w:t>
      </w:r>
    </w:p>
    <w:p>
      <w:r>
        <w:rPr>
          <w:b w:val="0"/>
        </w:rPr>
        <w:t>The New York Court of Appeals affirmed the lower courts' dismissal of plaintiff's complaint. The court held that the merger clause in the amended LLC agreement unambiguously supersedes the prior oral agreement concerning the exit opportunity, as both agreements concern the same subject matter: the liquidation and distribution of plaintiff's interest in Digipac. Plaintiff, as a member of the LLC, was bound by the amended LLC agreement under Delaware law. The promissory estoppel claim was properly dismissed because under Delaware law, promissory estoppel does not apply where an enforceable contract governs, and under New York law, it was duplicative of the breach of contract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