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Gardner-Alfred Analysis</w:t>
      </w:r>
    </w:p>
    <w:p>
      <w:r>
        <w:rPr>
          <w:b/>
        </w:rPr>
        <w:t>TO:</w:t>
        <w:tab/>
      </w:r>
      <w:r>
        <w:t>Senior Partner</w:t>
      </w:r>
    </w:p>
    <w:p>
      <w:r>
        <w:rPr>
          <w:b/>
        </w:rPr>
        <w:t>FROM:</w:t>
        <w:tab/>
      </w:r>
      <w:r>
        <w:t>Junior Associate</w:t>
      </w:r>
    </w:p>
    <w:p>
      <w:r>
        <w:rPr>
          <w:b/>
        </w:rPr>
        <w:t>DATE:</w:t>
        <w:tab/>
      </w:r>
      <w:r>
        <w:t>2025-07-10</w:t>
      </w:r>
    </w:p>
    <w:p>
      <w:r>
        <w:rPr>
          <w:b/>
        </w:rPr>
        <w:t>RE:</w:t>
        <w:tab/>
      </w:r>
      <w:r>
        <w:t>Legal Analysis of Gardner-Alfred v. Federal Reserve Bank of New York, 143 F.4th 51 (2d Cir. 2025)</w:t>
      </w:r>
    </w:p>
    <w:p>
      <w:r>
        <w:t>________________________________________________________________________________</w:t>
      </w:r>
    </w:p>
    <w:p>
      <w:pPr>
        <w:pStyle w:val="Heading1"/>
      </w:pPr>
      <w:r>
        <w:t>Introduction and Summary</w:t>
      </w:r>
    </w:p>
    <w:p>
      <w:r>
        <w:rPr>
          <w:b w:val="0"/>
        </w:rPr>
        <w:t>This memorandum analyzes the legal standards applied by the Second Circuit in Gardner-Alfred v. Federal Reserve Bank of New York, 143 F.4th 51 (2d Cir. 2025), regarding religious exemption claims from employer vaccination mandates. The case involved plaintiffs Lori Gardner-Alfred and Jeanette Diaz, employees at the Federal Reserve Bank of New York, who sought religious exemptions from a policy requiring Covid-19 vaccination. The Federal Reserve denied their requests and ultimately terminated them for noncompliance. The district court granted summary judgment for the Federal Reserve on all federal claims and imposed discovery sanctions. On appeal, the Second Circuit affirmed summary judgment against Gardner-Alfred but vacated and remanded the judgment against Diaz, finding disputed issues of material fact concerning the sincerity of her religious beliefs.</w:t>
      </w:r>
    </w:p>
    <w:p>
      <w:r>
        <w:rPr>
          <w:b w:val="0"/>
        </w:rPr>
        <w:t>The opinion provides important guidance on evaluating religious exemption claims under the Religious Freedom Restoration Act (RFRA), the Free Exercise Clause of the First Amendment, and Title VII of the Civil Rights Act of 1964. This memorandum will analyze the court's legal standards, compare the outcomes for the two plaintiffs, and offer practical advice for clients facing similar situations.</w:t>
      </w:r>
    </w:p>
    <w:p>
      <w:pPr>
        <w:pStyle w:val="Heading1"/>
      </w:pPr>
      <w:r>
        <w:t>Factual Background</w:t>
      </w:r>
    </w:p>
    <w:p>
      <w:r>
        <w:rPr>
          <w:b w:val="0"/>
        </w:rPr>
        <w:t>Lori Gardner-Alfred and Jeanette Diaz were executive assistants to C-suite officers at the Federal Reserve Bank of New York when the Covid-19 pandemic began. In March 2020, the Federal Reserve shifted most employees, including Gardner-Alfred and Diaz, to remote work. In summer 2021, as part of a phased return to the office, the Federal Reserve adopted a vaccination policy requiring that 'every individual employed by the [Federal Reserve] must be fully vaccinated against COVID-19' as a condition of employment, with accommodations available for those with 'a sincerely held religious belief that precludes receiving the COVID-19 vaccine.'</w:t>
      </w:r>
    </w:p>
    <w:p>
      <w:r>
        <w:rPr>
          <w:b w:val="0"/>
        </w:rPr>
        <w:t>Gardner-Alfred and Diaz applied for religious exemptions on August 9, 2021, and September 1, 2021, respectively. The Federal Reserve granted them both temporary accommodations until November 30, 2021. On November 29, 2021, the Federal Reserve denied permanent accommodations, stating their temporary accommodations would expire on January 7, 2022, and that they needed to be vaccinated by December 26, 2021. Neither complied, and both were terminated on March 14, 2022.</w:t>
      </w:r>
    </w:p>
    <w:p>
      <w:r>
        <w:rPr>
          <w:b w:val="0"/>
        </w:rPr>
        <w:t>Prior to termination, they filed suit in New York Supreme Court seeking to enjoin their firing. The case was removed to the U.S. District Court for the Southern District of New York. After discovery, the district court granted summary judgment for the Federal Reserve on all federal claims and imposed discovery sanctions. The state and city claims had been previously dismissed on a motion to dismiss.</w:t>
      </w:r>
    </w:p>
    <w:p>
      <w:pPr>
        <w:pStyle w:val="Heading1"/>
      </w:pPr>
      <w:r>
        <w:t>Legal Standards for Religious Exemption Claims</w:t>
      </w:r>
    </w:p>
    <w:p>
      <w:r>
        <w:rPr>
          <w:b w:val="0"/>
        </w:rPr>
        <w:t>The Second Circuit evaluated the plaintiffs' claims under three distinct legal frameworks: RFRA, the Free Exercise Clause, and Title VII. Under RFRA, the government 'shall not substantially burden a person's exercise of religion' unless it demonstrates that the burden '(1) is in furtherance of a compelling governmental interest; and (2) is the least restrictive means of furthering that compelling governmental interest.' This imposes a strict scrutiny standard.</w:t>
      </w:r>
    </w:p>
    <w:p>
      <w:r>
        <w:rPr>
          <w:b w:val="0"/>
        </w:rPr>
        <w:t>The Free Exercise Clause of the First Amendment, as interpreted in Employment Division v. Smith, 494 U.S. 872 (1990), generally does not require religious exemptions from neutral, generally applicable laws. However, the Supreme Court's decision in Fulton v. City of Philadelphia, 593 U.S. 567 (2021), and related cases have complicated this analysis.</w:t>
      </w:r>
    </w:p>
    <w:p>
      <w:r>
        <w:rPr>
          <w:b w:val="0"/>
        </w:rPr>
        <w:t>Under Title VII, an employer must reasonably accommodate an employee's sincerely held religious beliefs unless doing so would impose an 'undue hardship on the conduct of the employer's business.' This is a less demanding standard than strict scrutiny, but still requires an individualized assessment.</w:t>
      </w:r>
    </w:p>
    <w:p>
      <w:r>
        <w:rPr>
          <w:b w:val="0"/>
        </w:rPr>
        <w:t>A critical threshold question in all three frameworks is whether the claimant holds 'sincerely held religious beliefs.' Courts examine the sincerity, not the truth or correctness, of professed beliefs. The Gardner-Alfred opinion demonstrates how factual disputes over sincerity can preclude summary judgment, as seen in Diaz's case.</w:t>
      </w:r>
    </w:p>
    <w:p>
      <w:pPr>
        <w:pStyle w:val="Heading1"/>
      </w:pPr>
      <w:r>
        <w:t>Analysis of Sincerity: Gardner-Alfred vs. Diaz</w:t>
      </w:r>
    </w:p>
    <w:p>
      <w:r>
        <w:rPr>
          <w:b w:val="0"/>
        </w:rPr>
        <w:t>The district court concluded there was 'no genuine dispute of fact that Gardner-Alfred and Diaz did not have sincerely held religious objections to the Federal Reserve's vaccination policy.' However, the Second Circuit disagreed with this conclusion as to Diaz. The opinion indicates that the sincerity inquiry is factual and context-dependent.</w:t>
      </w:r>
    </w:p>
    <w:p>
      <w:r>
        <w:rPr>
          <w:b w:val="0"/>
        </w:rPr>
        <w:t>For Gardner-Alfred, the court found no basis to disturb the summary judgment. The opinion implies that her stated objections were not sufficiently supported by evidence to create a genuine dispute. The record apparently lacked evidence linking her objections to religious beliefs rather than secular concerns.</w:t>
      </w:r>
    </w:p>
    <w:p>
      <w:r>
        <w:rPr>
          <w:b w:val="0"/>
        </w:rPr>
        <w:t>For Diaz, however, the Second Circuit found 'disputed issues of material fact about whether Diaz's sincerely held religious beliefs conflict with the Federal Reserve's vaccination policy.' This indicates that Diaz presented more substantial evidence—perhaps consistent statements, religious affiliations, or specific doctrinal objections—that, taken in the light most favorable to her, could lead a reasonable jury to conclude her beliefs were sincere. The court remanded her claims for trial on this issue.</w:t>
      </w:r>
    </w:p>
    <w:p>
      <w:r>
        <w:rPr>
          <w:b w:val="0"/>
        </w:rPr>
        <w:t>The contrasting outcomes highlight that sincerity is not presumed; it must be supported by evidence. Plaintiffs seeking religious exemptions should be prepared to demonstrate a consistent, historically rooted connection between their beliefs and the specific practice at issue.</w:t>
      </w:r>
    </w:p>
    <w:p>
      <w:pPr>
        <w:pStyle w:val="Heading1"/>
      </w:pPr>
      <w:r>
        <w:t>Substantial Burden and Compelling Interest/Undue Hardship Analysis</w:t>
      </w:r>
    </w:p>
    <w:p>
      <w:r>
        <w:rPr>
          <w:b w:val="0"/>
        </w:rPr>
        <w:t>The opinion indicates that the district court also analyzed whether the vaccination policy conflicted with Diaz's professed religious beliefs—a separate question from sincerity. This goes to whether there is a substantial burden under RFRA or a conflict requiring accommodation under Title VII.</w:t>
      </w:r>
    </w:p>
    <w:p>
      <w:r>
        <w:rPr>
          <w:b w:val="0"/>
        </w:rPr>
        <w:t>If a plaintiff's beliefs are sincere but do not actually conflict with the policy, then no burden exists. The Second Circuit's remand suggests that for Diaz, this conflict was also genuinely disputed. For Gardner-Alfred, the lack of sincerity likely mooted this analysis.</w:t>
      </w:r>
    </w:p>
    <w:p>
      <w:r>
        <w:rPr>
          <w:b w:val="0"/>
        </w:rPr>
        <w:t>Under RFRA, if a substantial burden is found, the burden shifts to the employer to demonstrate that the policy serves a compelling governmental interest and is the least restrictive means. The Federal Reserve would likely argue that workplace safety and public health are compelling interests, especially in a financial institution with critical functions.</w:t>
      </w:r>
    </w:p>
    <w:p>
      <w:r>
        <w:rPr>
          <w:b w:val="0"/>
        </w:rPr>
        <w:t>Under Title VII, the standard is 'undue hardship,' defined as more than a de minimis cost. The Supreme Court in Groff v. DeJoy, 600 U.S. 447 (2023), recently clarified this standard, but the Gardner-Alfred opinion does not discuss it in detail. The district court's analysis likely focused on the Federal Reserve's operational needs and the difficulty of accommodating unvaccinated employees in a shared workplace.</w:t>
      </w:r>
    </w:p>
    <w:p>
      <w:r>
        <w:rPr>
          <w:b w:val="0"/>
        </w:rPr>
        <w:t>The discovery sanctions imposed by the district court—adverse inference instructions and attorneys' fees—also weighed against the plaintiffs. While the Second Circuit affirmed the sanctions, finding no abuse of discretion, the sanctions likely undermined the plaintiffs' ability to prove their case at summary judgment.</w:t>
      </w:r>
    </w:p>
    <w:p>
      <w:pPr>
        <w:pStyle w:val="Heading1"/>
      </w:pPr>
      <w:r>
        <w:t>Procedural History and Discovery Sanctions</w:t>
      </w:r>
    </w:p>
    <w:p>
      <w:r>
        <w:rPr>
          <w:b w:val="0"/>
        </w:rPr>
        <w:t>The district court found that Gardner-Alfred and Diaz 'repeatedly failed to comply with their discovery obligations, violated the court's discovery orders, and withheld relevant, potentially damaging documents.' The court concluded their conduct was 'willful' and 'in bad faith.' Sanctions were imposed under Federal Rules of Civil Procedure 16(f), 37(b), 37(c), and 26(g).</w:t>
      </w:r>
    </w:p>
    <w:p>
      <w:r>
        <w:rPr>
          <w:b w:val="0"/>
        </w:rPr>
        <w:t>The sanctions included: (1) adverse inference instructions against the plaintiffs, and (2) an award of reasonable attorneys' fees and expenses incurred by the Federal Reserve in connection with the sanctions motion, correspondence regarding discovery deficiencies, and a related motion. The district court applied the 'least harsh sanction that can provide an adequate remedy' standard.</w:t>
      </w:r>
    </w:p>
    <w:p>
      <w:r>
        <w:rPr>
          <w:b w:val="0"/>
        </w:rPr>
        <w:t>The Second Circuit reviewed the sanctions for abuse of discretion and found none. The plaintiffs did not challenge the factual findings of misconduct on appeal, focusing instead on the legal sufficiency of the sanctions.</w:t>
      </w:r>
    </w:p>
    <w:p>
      <w:r>
        <w:rPr>
          <w:b w:val="0"/>
        </w:rPr>
        <w:t>Discovery sanctions can severely impact a case. Adverse inferences allow the jury to assume that withheld documents would have been unfavorable to the sanctioned party. Here, the sanctions likely made it harder for the plaintiffs to demonstrate sincerity and conflict at summary judgment, as the court could draw negative inferences from their discovery behavior.</w:t>
      </w:r>
    </w:p>
    <w:p>
      <w:pPr>
        <w:pStyle w:val="Heading1"/>
      </w:pPr>
      <w:r>
        <w:t>Practical Advice for Clients</w:t>
      </w:r>
    </w:p>
    <w:p>
      <w:r>
        <w:rPr>
          <w:b w:val="0"/>
        </w:rPr>
        <w:t>Based on the Gardner-Alfred opinion, clients seeking religious exemptions from employer mandates should take several steps to strengthen their position. First, they should document their religious beliefs early and consistently. This includes written statements, affiliation with religious organizations, and any communications with religious leaders. The court's focus on sincerity means that contemporaneous evidence is crucial.</w:t>
      </w:r>
    </w:p>
    <w:p>
      <w:r>
        <w:rPr>
          <w:b w:val="0"/>
        </w:rPr>
        <w:t>Second, clients should ensure their professed beliefs directly conflict with the policy. A generalized objection is insufficient; the belief must be specifically tied to the practice at issue. For vaccination mandates, this might involve showing a religious tenet against receiving certain medical treatments.</w:t>
      </w:r>
    </w:p>
    <w:p>
      <w:r>
        <w:rPr>
          <w:b w:val="0"/>
        </w:rPr>
        <w:t>Third, clients must strictly comply with all discovery obligations. The sanctions in Gardner-Alfred—adverse inferences and fee awards—demonstrate that misconduct can be fatal to a claim. Even if the underlying claim has merit, discovery violations can undermine it at summary judgment.</w:t>
      </w:r>
    </w:p>
    <w:p>
      <w:r>
        <w:rPr>
          <w:b w:val="0"/>
        </w:rPr>
        <w:t>Finally, clients should consult legal counsel early. The procedural history of this case, including the motion to dismiss and the sanctions motion, shows that religious exemption claims involve complex procedural and substantive hurdles. Early guidance can help avoid pitfalls and preserve claims.</w:t>
      </w:r>
    </w:p>
    <w:p>
      <w:pPr>
        <w:pStyle w:val="Heading1"/>
      </w:pPr>
      <w:r>
        <w:t>Conclusion</w:t>
      </w:r>
    </w:p>
    <w:p>
      <w:r>
        <w:rPr>
          <w:b w:val="0"/>
        </w:rPr>
        <w:t>The Gardner-Alfred opinion underscores that religious exemption claims are intensely fact-specific. The sincerity of religious beliefs is a factual question that can preclude summary judgment if adequately supported, as shown by Diaz's case. However, claims without sufficient evidence of sincerity or conflict will fail, as with Gardner-Alfred.</w:t>
      </w:r>
    </w:p>
    <w:p>
      <w:r>
        <w:rPr>
          <w:b w:val="0"/>
        </w:rPr>
        <w:t>The case also highlights the procedural pitfalls of discovery misconduct, which can irremediably damage even potentially meritorious claims. For clients in similar situations, careful documentation, consistent testimony, and strict compliance with litigation obligations are essential to preserving their religious liberty claims.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