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Katleski v. Cazenovia Golf Club</w:t>
      </w:r>
    </w:p>
    <w:p>
      <w:r>
        <w:rPr>
          <w:b/>
        </w:rPr>
        <w:t>TO:</w:t>
        <w:tab/>
      </w:r>
      <w:r>
        <w:t>Senior Partner</w:t>
      </w:r>
    </w:p>
    <w:p>
      <w:r>
        <w:rPr>
          <w:b/>
        </w:rPr>
        <w:t>FROM:</w:t>
        <w:tab/>
      </w:r>
      <w:r>
        <w:t>Associate</w:t>
      </w:r>
    </w:p>
    <w:p>
      <w:r>
        <w:rPr>
          <w:b/>
        </w:rPr>
        <w:t>DATE:</w:t>
        <w:tab/>
      </w:r>
      <w:r>
        <w:t>April 2025</w:t>
      </w:r>
    </w:p>
    <w:p>
      <w:r>
        <w:rPr>
          <w:b/>
        </w:rPr>
        <w:t>RE:</w:t>
        <w:tab/>
      </w:r>
      <w:r>
        <w:t>Legal Analysis: Katleski v. Cazenovia Golf Club, Inc., 2025 NY Slip Op 02142</w:t>
      </w:r>
    </w:p>
    <w:p>
      <w:r>
        <w:t>________________________________________________________________________________</w:t>
      </w:r>
    </w:p>
    <w:p>
      <w:pPr>
        <w:pStyle w:val="Heading1"/>
      </w:pPr>
      <w:r>
        <w:t>MEMORANDUM</w:t>
      </w:r>
    </w:p>
    <w:p>
      <w:pPr>
        <w:pStyle w:val="Heading2"/>
      </w:pPr>
      <w:r>
        <w:t>I. Question Presented</w:t>
      </w:r>
    </w:p>
    <w:p>
      <w:r>
        <w:rPr>
          <w:b w:val="0"/>
        </w:rPr>
        <w:t>Does the primary assumption of risk doctrine bar negligence claims for injuries sustained by individuals participating in recreational activities, and what are the limits of the doctrine's application?</w:t>
      </w:r>
    </w:p>
    <w:p>
      <w:pPr>
        <w:pStyle w:val="Heading2"/>
      </w:pPr>
      <w:r>
        <w:t>II. Short Answer</w:t>
      </w:r>
    </w:p>
    <w:p>
      <w:r>
        <w:rPr>
          <w:b w:val="0"/>
        </w:rPr>
        <w:t>The primary assumption of risk doctrine bars negligence claims for injuries arising from risks inherent in a recreational activity, but it does not apply if the risk was unreasonably enhanced by the defendant or if the plaintiff was not participating in a protected athletic or recreative activity at the time of injury.</w:t>
      </w:r>
    </w:p>
    <w:p>
      <w:pPr>
        <w:pStyle w:val="Heading2"/>
      </w:pPr>
      <w:r>
        <w:t>III. Statement of Facts</w:t>
      </w:r>
    </w:p>
    <w:p>
      <w:r>
        <w:rPr>
          <w:b w:val="0"/>
        </w:rPr>
        <w:t>A. Katleski v. Cazenovia Golf Club, Inc.</w:t>
        <w:br/>
        <w:t>David Katleski, an experienced golfer and 18-year member of the Cazenovia Golf Club, was struck in the left eye by an errant golf ball while competing in a tournament on June 20, 2020. The tournament used a 'shotgun start.' The accident occurred during Katleski's third round as he rode in a golf cart on the seventh fairway looking for a ball. Another player teeing off from the third hole, which runs roughly parallel to the seventh but in the opposite direction, hooked his shot into the seventh fairway. The club's course layout had been substantially the same since it was first constructed in 1924. The tee box used for the shot (tee box 'A') was installed approximately a decade prior to the accident to increase the third hole's difficulty and was predominantly used in tournaments. Katleski testified he had been a member for 18 years and had played the course approximately 100 times prior to the accident. He acknowledged that getting hit by a golf ball is an inherent risk of playing golf, and even remarked on the day of the accident that tee box A's placement was dangerous due to the lack of a clear line of sight.</w:t>
      </w:r>
    </w:p>
    <w:p>
      <w:r>
        <w:rPr>
          <w:b w:val="0"/>
        </w:rPr>
        <w:t>B. Galante v. Karlis</w:t>
        <w:br/>
        <w:t>On the same day, Mary Galante was injured shortly after arriving at the Elma Meadows Golf Course in Erie County to play with a group of friends. After parking her car, she walked to the clubhouse, checked out a golf cart, and drove it back to the parking lot to retrieve her golf clubs from her car. As she drove into the parking lot, she collided with a car that was exiting, causing her to be ejected onto the pavement.</w:t>
      </w:r>
    </w:p>
    <w:p>
      <w:r>
        <w:rPr>
          <w:b w:val="0"/>
        </w:rPr>
        <w:t>C. Procedural History</w:t>
        <w:br/>
        <w:t>In Katleski, the club moved for summary judgment arguing Katleski voluntarily assumed the risk. Supreme Court denied the motion, finding Katleski's expert affidavit raised a triable issue of fact on unreasonable enhancement of risk. The Appellate Division reversed and granted the club's motion in a split decision (225 AD3d 1030 [3d Dept 2024]). Katleski appealed as of right based on the two-justice dissent (CPLR 5601[a]). The Court of Appeals affirmed.</w:t>
        <w:br/>
        <w:t>In Galante, the County cross-moved for summary judgment based on the primary assumption of risk defense. The Appellate Division granted the motion (229 AD3d 1311 [4th Dept 2024]), reasoning the accident occurred in a designated recreational venue and the risk of golf cart injury is inherent in golf. Galante appealed as of right based on a two-justice dissent. The Court of Appeals reversed.</w:t>
      </w:r>
    </w:p>
    <w:p>
      <w:pPr>
        <w:pStyle w:val="Heading2"/>
      </w:pPr>
      <w:r>
        <w:t>IV. Discussion</w:t>
      </w:r>
    </w:p>
    <w:p>
      <w:r>
        <w:rPr>
          <w:b w:val="0"/>
        </w:rPr>
        <w:t>The primary assumption of risk doctrine is a 'limited vestige' of the broader assumption of risk defense, retained by New York courts after the 1975 enactment of the comparative fault statute (CPLR 1411) abolished contributory negligence and assumption of risk as absolute defenses (Custodi v Town of Amherst, 20 NY3d 83, 87 [2012]). The doctrine's purpose is to 'promote free and vigorous participation in sports and recreative activities,' which possess 'enormous social value' despite their heightened risks (Grady v Chenango Val. Cent. Sch. Dist., 40 NY3d 89, 93-94 [2023], quoting Trupia v Lake George Cent. Sch. Dist., 14 NY3d 392, 395 [2010]). It achieves this by shielding 'coparticipants, activity sponsors, and venue owners from the potentially crushing liability' that would otherwise arise (Grady, 40 NY3d at 94-95).</w:t>
      </w:r>
    </w:p>
    <w:p>
      <w:r>
        <w:rPr>
          <w:b w:val="0"/>
        </w:rPr>
        <w:t>The Court in this opinion clarifies two crucial limitations on the doctrine. First, 'participants are not deemed to have assumed risks resulting from the reckless or intentional conduct of others, or risks that are concealed or unreasonably enhanced' (Custodi, 20 NY3d at 88; Anand v Kapoor, 15 NY3d 946, 948 [2010]; Morgan v State of New York, 90 NY2d 471, 485 [1997]). This rule serves as an 'important counterweight to an undue interposition of the assumption of risk doctrine' (Morgan, 90 NY2d at 485). Second, the doctrine is confined to cases involving participation in athletics and recreation. It does not extend to all activities occurring in a recreational venue; the plaintiff must be engaged in the protected activity itself.</w:t>
      </w:r>
    </w:p>
    <w:p>
      <w:r>
        <w:rPr>
          <w:b w:val="0"/>
        </w:rPr>
        <w:t>Application to Katleski: The Court held that being struck by a mishit golf ball is a risk that 'naturally inheres in the sport of golf' (Rinaldo v McGovern, 78 NY2d 729, 733 [1991]; accord Anand, 15 NY3d at 948). The sole question was whether the placement of tee box A unreasonably enhanced that risk. The Court affirmed the Appellate Division's grant of summary judgment to the club, finding no triable issue of fact. Katleski's own testimony demonstrated his awareness of the layout: 18 years of membership, playing the course 100 times, and his pre-accident remark about tee box A's dangerous placement. The Court agreed with the Appellate Division that the course was 'as safe as they appeared to be' (225 AD3d at 1038) and that there was no evidence the design 'exposed plaintiff . . . to a risk over and above the usual dangers that are inherent in the sport of golf' (225 AD3d at 1038). Therefore, the doctrine barred Katleski's negligence claim.</w:t>
      </w:r>
    </w:p>
    <w:p>
      <w:r>
        <w:rPr>
          <w:b w:val="0"/>
        </w:rPr>
        <w:t>Application to Galante: The Court reversed the Appellate Division and reinstated Galante's claim. The Court held that the primary assumption of risk doctrine 'has no application to a person who was not participating in a protected athletic or recreative activity at the time of their injury.' Although Galante was at a golf course and intended to play golf, she was not yet engaged in that activity. She was driving a golf cart in the parking lot to retrieve her personal belongings. The Appellate Division erred by focusing on the location ('a designated recreational venue') rather than the nature of the activity. The risk of colliding with a car in a parking lot is not a risk inherent in playing golf. Therefore, the assumption of risk defense was inapplicable, and the County was not entitled to summary judgment.</w:t>
      </w:r>
    </w:p>
    <w:p>
      <w:pPr>
        <w:pStyle w:val="Heading2"/>
      </w:pPr>
      <w:r>
        <w:t>V. Conclusion</w:t>
      </w:r>
    </w:p>
    <w:p>
      <w:r>
        <w:rPr>
          <w:b w:val="0"/>
        </w:rPr>
        <w:t>The Court of Appeals in Katleski v. Cazenovia Golf Club, Inc., 2025 NY Slip Op 02142, decided April 15, 2025, affirmed that the primary assumption of risk doctrine bars claims for injuries from risks inherent in a recreational activity, such as being hit by an errant golf ball. However, the Court reinforced two critical limitations: the doctrine does not apply if the defendant's conduct unreasonably enhanced the inherent risk, and it is strictly limited to individuals actively participating in the protected activity. For the recreational sports league client, the doctrine will shield it from liability for injuries arising from the ordinary risks of the sports it organizes. It will not protect the league from claims alleging that it created conditions that unreasonably enhanced those risks, nor will it protect the league for injuries to individuals who are not actively participating in the league's sporting activities (e.g., spectators in parking lots).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