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 – FCC v. Consumers' Research, 606 U.S. 656 (2025)</w:t>
      </w:r>
    </w:p>
    <w:p>
      <w:r>
        <w:rPr>
          <w:b/>
        </w:rPr>
        <w:t>TO:</w:t>
        <w:tab/>
      </w:r>
      <w:r>
        <w:t>Managing Partner</w:t>
      </w:r>
    </w:p>
    <w:p>
      <w:r>
        <w:rPr>
          <w:b/>
        </w:rPr>
        <w:t>FROM:</w:t>
        <w:tab/>
      </w:r>
      <w:r>
        <w:t>Senior Associate</w:t>
      </w:r>
    </w:p>
    <w:p>
      <w:r>
        <w:rPr>
          <w:b/>
        </w:rPr>
        <w:t>DATE:</w:t>
        <w:tab/>
      </w:r>
      <w:r>
        <w:t>Current Date</w:t>
      </w:r>
    </w:p>
    <w:p>
      <w:r>
        <w:rPr>
          <w:b/>
        </w:rPr>
        <w:t>RE:</w:t>
        <w:tab/>
      </w:r>
      <w:r>
        <w:t>Legal Memorandum – FCC v. Consumers' Research, 606 U.S. 656 (2025)</w:t>
      </w:r>
    </w:p>
    <w:p>
      <w:r>
        <w:t>________________________________________________________________________________</w:t>
      </w:r>
    </w:p>
    <w:p>
      <w:pPr>
        <w:pStyle w:val="Heading1"/>
      </w:pPr>
      <w:r>
        <w:t>I. Summary of Facts and Procedural History</w:t>
      </w:r>
    </w:p>
    <w:p>
      <w:r>
        <w:rPr>
          <w:b w:val="0"/>
        </w:rPr>
        <w:t>This case arises from a challenge to the universal-service contribution scheme established by the Federal Communications Commission (FCC) under the Communications Act of 1934, as amended in 1996. The petitioners, the FCC and Schools, Health, &amp; Libraries Broadband Coalition, seek review of a Fifth Circuit en banc decision holding that the scheme violates the nondelegation doctrine. The respondent, Consumers' Research, is a nonprofit organization that petitioned for review of the FCC's contribution factor setting.</w:t>
      </w:r>
    </w:p>
    <w:p>
      <w:r>
        <w:rPr>
          <w:b w:val="0"/>
        </w:rPr>
        <w:t>The Communications Act of 1934 established the FCC and instructed it to make communications services available to "all the people of the United States" at "reasonable charges," an objective known as "universal service." 47 U.S.C. § 151. Initially, the FCC pursued universal service through implicit subsidies using its rate-regulation authority. In 1996, Congress amended the Act to create a new framework. Section 254 of the amended statute requires every carrier providing interstate telecommunications services to "contribute" to the Universal Service Fund. 47 U.S.C. § 254(d).</w:t>
      </w:r>
    </w:p>
    <w:p>
      <w:r>
        <w:rPr>
          <w:b w:val="0"/>
        </w:rPr>
        <w:t>The FCC uses money from the Fund to pay for universal-service subsidy programs targeting low-income consumers, rural areas, schools and libraries, and rural hospitals. 47 U.S.C. §§ 254(b)(3), (h)(1), (j). To calculate carrier contributions, the FCC devised a "contribution factor" formula, expressed as a percentage, whose numerator is the Fund's projected quarterly expenses and denominator is contributing carriers' total projected quarterly revenue. 47 CFR § 54.709(a).</w:t>
      </w:r>
    </w:p>
    <w:p>
      <w:r>
        <w:rPr>
          <w:b w:val="0"/>
        </w:rPr>
        <w:t>The FCC appointed the Universal Service Administrative Company (USAC), a private, not-for-profit corporation, as the Fund's "permanent Administrator." 47 CFR § 54.701(a). USAC manages day-to-day operations and plays a role in producing financial projections that determine the contribution factor. Each quarter, USAC projects expenses, adds up carrier revenue estimates, and submits figures to the Commission for approval.</w:t>
      </w:r>
    </w:p>
    <w:p>
      <w:r>
        <w:rPr>
          <w:b w:val="0"/>
        </w:rPr>
        <w:t>In December 2021, the FCC set a 25.2% contribution factor for the first quarter of 2022. Consumers' Research petitioned for review in the Fifth Circuit, contending that the universal-service contribution scheme violates the nondelegation doctrine. The en banc court granted the petition, replacing a panel decision to the contrary, holding that the combination of Congress's delegation to the FCC and the FCC's "subdelegation" to USAC violated the Constitution.</w:t>
      </w:r>
    </w:p>
    <w:p>
      <w:pPr>
        <w:pStyle w:val="Heading1"/>
      </w:pPr>
      <w:r>
        <w:t>II. Legal Issue Presented</w:t>
      </w:r>
    </w:p>
    <w:p>
      <w:r>
        <w:rPr>
          <w:b w:val="0"/>
        </w:rPr>
        <w:t>The central legal issue before the Supreme Court is whether the universal-service contribution scheme under Section 254 of the Communications Act violates the nondelegation doctrine. Specifically, the Court must decide whether Congress's delegation of authority to the FCC to collect contributions "sufficient" to support universal-service programs provides an "intelligible principle" to guide the agency's discretion, as required by the Constitution. A sub-issue is whether revenue-raising statutes must satisfy a special nondelegation rule requiring Congress to set a definite or objective limit on how much money an agency can collect, such as a numeric cap or fixed tax rate.</w:t>
      </w:r>
    </w:p>
    <w:p>
      <w:pPr>
        <w:pStyle w:val="Heading1"/>
      </w:pPr>
      <w:r>
        <w:t>III. Analysis of the Court's Holding and Reasoning</w:t>
      </w:r>
    </w:p>
    <w:p>
      <w:r>
        <w:rPr>
          <w:b w:val="0"/>
        </w:rPr>
        <w:t>The Court affirmed the universal-service contribution scheme, holding it does not violate the nondelegation doctrine. Justice Kagan authored the opinion. The Court applied the "intelligible-principle" test, which requires Congress to make clear both "the general policy" the agency must pursue and "the boundaries of [its] delegated authority." American Power &amp; Light Co. v. SEC, 329 U.S. 90, 105. Under J. W. Hampton, Jr., &amp; Co. v. United States, 276 U.S. 394, 406, Congress may "seek[ ] assistance" from its coordinate branches and "vest[ ] discretion" in executive agencies to implement the laws it has enacted, provided it supplies an intelligible principle.</w:t>
      </w:r>
    </w:p>
    <w:p>
      <w:r>
        <w:rPr>
          <w:b w:val="0"/>
        </w:rPr>
        <w:t>Consumers' Research argued that a special nondelegation rule applies to tax statutes, requiring Congress to set a definite or objective limit on how much money an agency can collect, such as a numeric cap, fixed tax rate, or equivalent. The Court rejected this argument, citing precedent that forecloses such a rule. In both J. W. Hampton and Skinner v. Mid-America Pipeline Co., 490 U.S. 212, 220-221, the Court declined requests to create a special nondelegation rule for revenue-raising legislation. The Court noted that Consumers' Research's proposed test would throw a host of federal statutes into doubt, as Congress has often empowered agencies to raise revenue without specifying a numeric cap or tax rate, citing 12 U.S.C. §§ 16, 243, 1815(d)(1) as examples.</w:t>
      </w:r>
    </w:p>
    <w:p>
      <w:r>
        <w:rPr>
          <w:b w:val="0"/>
        </w:rPr>
        <w:t>The Court further rejected Consumers' Research's attempt to distinguish those other statutes as imposing fees rather than taxes, holding that Skinner made clear whether a charge is a tax or a fee is irrelevant to the nondelegation inquiry. 490 U.S. at 223. The Court characterized Consumers' Research's position as producing "absurd results, divorced from any reasonable understanding of constitutional values." Under its view, a revenue-raising statute containing non-numeric, qualitative standards can never pass muster, while a statute with a numeric limit will always pass muster, even if it effectively leaves an agency with boundless power.</w:t>
      </w:r>
    </w:p>
    <w:p>
      <w:r>
        <w:rPr>
          <w:b w:val="0"/>
        </w:rPr>
        <w:t>Applying the usual intelligible-principle test, the Court held that the universal-service contribution scheme clears the nondelegation bar. Section 254 directs the FCC to collect contributions that are "sufficient" to support universal-service programs. 47 U.S.C. §§ 254(b)(5), (d), (e). The Court interpreted "sufficient" as setting both a floor and a ceiling—the FCC cannot raise less than what is adequate or necessary to finance its universal-service programs, but it also cannot raise more than that amount.</w:t>
      </w:r>
    </w:p>
    <w:p>
      <w:r>
        <w:rPr>
          <w:b w:val="0"/>
        </w:rPr>
        <w:t>The Court emphasized that the "sufficiency" ceiling imposes a meaningful limit on the Commission because Section 254 provides detailed guidance about the nature and content of universal service. The statute designates beneficiaries: those in rural and other high-cost areas (including rural hospitals), low-income consumers, and schools and libraries. 47 U.S.C. §§ 254(b)(3), (6), (h)(1). It also defines the services beneficiaries should receive: a service must be subscribed to by a substantial majority of residential customers, available at affordable rates, and essential to education, public health, or safety. 47 U.S.C. §§ 254(b)(1), (3), (c)(1)(A)-(B). These conditions, each alone and together, provide the FCC with determinate standards for operating the universal-service program.</w:t>
      </w:r>
    </w:p>
    <w:p>
      <w:pPr>
        <w:pStyle w:val="Heading1"/>
      </w:pPr>
      <w:r>
        <w:t>IV. Practical Implications for Carriers and the Universal-Service Program</w:t>
      </w:r>
    </w:p>
    <w:p>
      <w:r>
        <w:rPr>
          <w:b w:val="0"/>
        </w:rPr>
        <w:t>The Supreme Court's decision in FCC v. Consumers' Research has significant practical implications for telecommunications carriers and the universal-service program. First, the ruling definitively upholds the FCC's authority to set contribution factors without a statutory numeric cap. Carriers should anticipate that the FCC will continue to set quarterly contribution factors based on the "sufficiency" standard, using projections of Fund expenses and carrier revenues. The December 2021 contribution factor of 25.2% for Q1 2022, and similar future factors, are now on firm constitutional ground.</w:t>
      </w:r>
    </w:p>
    <w:p>
      <w:r>
        <w:rPr>
          <w:b w:val="0"/>
        </w:rPr>
        <w:t>Second, the decision reaffirms the validity of the FCC's subdelegation to the Universal Service Administrative Company (USAC). USAC will continue to manage the Fund's day-to-day operations, project expenses, aggregate carrier revenue estimates, and submit figures to the FCC for approval. Carriers must continue to submit accurate revenue data to USAC as required by 47 CFR § 54.709(a)(2)-(3).</w:t>
      </w:r>
    </w:p>
    <w:p>
      <w:r>
        <w:rPr>
          <w:b w:val="0"/>
        </w:rPr>
        <w:t>Third, the ruling may discourage future challenges to agency revenue-raising authority based on nondelegation arguments. By rejecting a special nondelegation rule for revenue-raising statutes, the Court has signaled that the intelligible-principle test applies uniformly. Agencies like the FCC, SEC, and others that collect fees or contributions under broad statutory standards will face fewer constitutional attacks on their delegated authority.</w:t>
      </w:r>
    </w:p>
    <w:p>
      <w:r>
        <w:rPr>
          <w:b w:val="0"/>
        </w:rPr>
        <w:t>Finally, carriers should review their universal-service compliance procedures to ensure alignment with Section 254's statutory criteria. The FCC's subsidy programs must target low-income consumers, rural areas, schools and libraries, and rural hospitals, and must focus on services that are essential to education, public health, or safety, subscribed to by a substantial majority of residential customers, and available at affordable rates. 47 U.S.C. §§ 254(b)(1), (3), (c)(1)(A)-(B). The Court's emphasis on these determinate standards suggests that the FCC's future exercises of discretion will be measured against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