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Memorandum - People v. Curiel, S272238</w:t>
      </w:r>
    </w:p>
    <w:p>
      <w:r>
        <w:rPr>
          <w:b/>
        </w:rPr>
        <w:t>TO:</w:t>
        <w:tab/>
      </w:r>
      <w:r>
        <w:t>Supervising Partner</w:t>
      </w:r>
    </w:p>
    <w:p>
      <w:r>
        <w:rPr>
          <w:b/>
        </w:rPr>
        <w:t>FROM:</w:t>
        <w:tab/>
      </w:r>
      <w:r>
        <w:t>Senior Associate</w:t>
      </w:r>
    </w:p>
    <w:p>
      <w:r>
        <w:rPr>
          <w:b/>
        </w:rPr>
        <w:t>DATE:</w:t>
        <w:tab/>
      </w:r>
      <w:r>
        <w:t>November 28, 2023</w:t>
      </w:r>
    </w:p>
    <w:p>
      <w:r>
        <w:rPr>
          <w:b/>
        </w:rPr>
        <w:t>RE:</w:t>
        <w:tab/>
      </w:r>
      <w:r>
        <w:t>Analysis of People v. Curiel, 315 Cal. Rptr. 3d 495 (Cal. 2023) - Senate Bill 1437 Petition Standards</w:t>
      </w:r>
    </w:p>
    <w:p>
      <w:r>
        <w:t>________________________________________________________________________________</w:t>
      </w:r>
    </w:p>
    <w:p>
      <w:pPr>
        <w:pStyle w:val="Heading1"/>
      </w:pPr>
      <w:r>
        <w:t>Question Presented</w:t>
      </w:r>
    </w:p>
    <w:p>
      <w:r>
        <w:rPr>
          <w:b w:val="0"/>
        </w:rPr>
        <w:t>Does a jury's true finding on a gang-murder special circumstance allegation, specifically its finding that the defendant intended to kill, conclusively establish that the defendant is ineligible for resentencing relief under Senate Bill 1437 (now Penal Code § 1172.6) at the prima facie stage of review?</w:t>
      </w:r>
    </w:p>
    <w:p>
      <w:pPr>
        <w:pStyle w:val="Heading1"/>
      </w:pPr>
      <w:r>
        <w:t>Brief Answer</w:t>
      </w:r>
    </w:p>
    <w:p>
      <w:r>
        <w:rPr>
          <w:b w:val="0"/>
        </w:rPr>
        <w:t>No. The California Supreme Court held that while a jury's intent-to-kill finding is entitled to preclusive effect in a Senate Bill 1437 proceeding, it does not, by itself, conclusively establish that the defendant is ineligible for relief. The Court affirmed the Court of Appeal's reversal of the trial court's denial of the petition.</w:t>
      </w:r>
    </w:p>
    <w:p>
      <w:r>
        <w:rPr>
          <w:b w:val="0"/>
        </w:rPr>
        <w:t>The Court reasoned that intent to kill is only one component of the mens rea required for murder liability as an aider and abettor. It does not establish the requisite actus reus. Furthermore, the jury's verdicts and instructions did not necessarily make factual findings covering all the elements of murder under current law. Therefore, the petitioner's allegation of nonliability is sufficient to state a prima facie case, entitling him to an evidentiary hearing.</w:t>
      </w:r>
    </w:p>
    <w:p>
      <w:r>
        <w:rPr>
          <w:b w:val="0"/>
        </w:rPr>
        <w:t>This decision clarifies that trial courts cannot deny Senate Bill 1437 petitions at the prima facie stage solely based on a past intent-to-kill finding. The prosecution must demonstrate that the prior record conclusively establishes all elements of murder under the amended statutes.</w:t>
      </w:r>
    </w:p>
    <w:p>
      <w:pPr>
        <w:pStyle w:val="Heading1"/>
      </w:pPr>
      <w:r>
        <w:t>Statement of Facts</w:t>
      </w:r>
    </w:p>
    <w:p>
      <w:r>
        <w:rPr>
          <w:b w:val="0"/>
        </w:rPr>
        <w:t>A. Trial Evidence</w:t>
        <w:br/>
        <w:br/>
        <w:t>In August 2002, Freddy Alfredo Curiel and Abraham Hernandez encountered a group of friends socializing outside Cesar Tejada's apartment. Curiel, a member of the O.T.H. criminal street gang, and Hernandez, also identified as an O.T.H. member, confronted the group. Hernandez asked Tejada 'where he was from,' a challenge interpreted by the prosecution's gang expert as a serious 'hit-up' used to identify rivals in a gang's turf. A physical altercation ensued, culminating in Hernandez shooting Tejada in the chest at close range (approximately 12 to 18 inches), killing him. Curiel stipulated to his gang membership. The prosecution's expert testified about gang culture, emphasizing turf orientation, the significance of the 'where are you from' challenge, and that disrespect often triggers violent retaliation.</w:t>
      </w:r>
    </w:p>
    <w:p>
      <w:r>
        <w:rPr>
          <w:b w:val="0"/>
        </w:rPr>
        <w:t>B. Procedural History</w:t>
        <w:br/>
        <w:br/>
        <w:t>In 2006, a jury convicted Curiel of first degree murder (Pen. Code, § 187, subd. (a)). The jury also found true the gang-murder special circumstance allegation (§ 190.2, subd. (a)(22)) and the criminal street gang sentencing enhancement (§ 186.22, subd. (b)(1)), along with two firearm enhancements (§ 12022.53, subds. (d), (e)). The trial court sentenced Curiel to life imprisonment without the possibility of parole, consecutive to 25 years to life. Twelve years later, in 2018, the Legislature enacted Senate Bill 1437, which narrowed accomplice liability for murder and created a retroactive petition procedure (formerly § 1170.95, now § 1172.6). Curiel petitioned for relief, alleging he was convicted under the now-barred natural and probable consequences doctrine. The trial court denied the petition at the prima facie stage, holding that the jury's intent-to-kill finding for the special circumstance refuted his claim of nonliability under current law. The Court of Appeal reversed, holding the intent-to-kill finding was insufficient to establish liability as a matter of law. The Supreme Court granted review.</w:t>
      </w:r>
    </w:p>
    <w:p>
      <w:pPr>
        <w:pStyle w:val="Heading1"/>
      </w:pPr>
      <w:r>
        <w:t>Analysis</w:t>
      </w:r>
    </w:p>
    <w:p>
      <w:r>
        <w:rPr>
          <w:b w:val="0"/>
        </w:rPr>
        <w:t>A. Issue Preclusion Applies to the Jury's Intent-to-Kill Finding</w:t>
        <w:br/>
        <w:br/>
        <w:t>The Supreme Court first addressed the threshold question of whether the jury's intent-to-kill finding could be considered in the Senate Bill 1437 proceeding. It concluded that the finding was properly given preclusive effect. The Court applied the traditional elements of the doctrine of issue preclusion, as discussed in People v. Strong (2022) 13 Cal.5th 698, 715–716. Curiel was bound by the jury's factual finding for purposes of assessing his petition, as he had not established any applicable exception. Therefore, the trial court was correct to consider the finding when evaluating whether Curiel could state a prima facie case.</w:t>
      </w:r>
    </w:p>
    <w:p>
      <w:r>
        <w:rPr>
          <w:b w:val="0"/>
        </w:rPr>
        <w:t>B. Intent to Kill Does Not Conclusively Establish Murder Liability as an Aider and Abettor</w:t>
        <w:br/>
        <w:br/>
        <w:t>Despite applying issue preclusion, the Court held the intent-to-kill finding is not dispositive. The core of the analysis focused on the elements of murder under current law. To be convicted as a direct aider and abettor, the prosecution must prove the defendant harbored a culpable mens rea and committed a culpable actus reus. As explained in People v. Perez (2005) 35 Cal.4th 1219, 1225, the mens rea required includes knowledge of the perpetrator's intent to commit an unlawful act constituting the offense and the intent to aid the perpetrator in its commission. A finding of intent to kill, viewed in isolation, establishes neither of these distinct mental states. Furthermore, it does not establish the requisite actus reus—the affirmative act of aiding. Thus, the Court concluded that the trial court erred in denying Curiel's petition based solely on this finding.</w:t>
      </w:r>
    </w:p>
    <w:p>
      <w:r>
        <w:rPr>
          <w:b w:val="0"/>
        </w:rPr>
        <w:t>C. The Jury's Verdicts Were Insufficient to Rebut the Prima Facie Showing</w:t>
        <w:br/>
        <w:br/>
        <w:t>The Court then examined whether the jury's other findings, inherent in its verdicts, could cure the deficiency. It concluded they could not. The Court analyzed the verdicts "viewed in light of the court's jury instructions" and found they did not show the jury necessarily made factual findings covering all the elements of aider and abettor liability under current law. The Court did not find that the record conclusively demonstrated Curiel acted with knowledge of Hernandez's intent to kill or that he committed an act aiding the murder. Therefore, Curiel's allegation that he could not currently be convicted of murder put all elements at issue. The trial court could not reject this prima facie showing and should have proceeded to an evidentiary hearing. This aligns with the purpose of Senate Bill 1437's procedure, as referenced in People v. Lewis (2021) 11 Cal.5th 952, 957, to allow convicted murderers who could not be convicted under amended law to seek relief.</w:t>
      </w:r>
    </w:p>
    <w:p>
      <w:pPr>
        <w:pStyle w:val="Heading1"/>
      </w:pPr>
      <w:r>
        <w:t>Conclusion</w:t>
      </w:r>
    </w:p>
    <w:p>
      <w:r>
        <w:rPr>
          <w:b w:val="0"/>
        </w:rPr>
        <w:t>The Supreme Court affirmed the judgment of the Court of Appeal, which had reversed the trial court's order denying Curiel's petition for relief under Senate Bill 1437. The Court held that while the jury's intent-to-kill finding is entitled to preclusive effect, it does not, by itself, establish ineligibility for resentencing. The petition should proceed to an evidentiary hearing. This decision establishes that trial courts must conduct a nuanced analysis of the entire record—including verdicts and jury instructions—when evaluating a prima facie case, and cannot deny relief based on a single historical finding of intent. For Mr. Curiel, this means his petition is now reinstated, and the trial court must hold an evidentiary hearing to determine whether the prosecution can prove, under the current law, that he is guilty of murder as an aider and abettor based on the complete record or new evidence.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