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Analysis of Kennedy v. Braidwood Management, Inc.</w:t>
      </w:r>
    </w:p>
    <w:p>
      <w:r>
        <w:rPr>
          <w:b/>
        </w:rPr>
        <w:t>TO:</w:t>
        <w:tab/>
      </w:r>
      <w:r>
        <w:t>Litigation Partner</w:t>
      </w:r>
    </w:p>
    <w:p>
      <w:r>
        <w:rPr>
          <w:b/>
        </w:rPr>
        <w:t>FROM:</w:t>
        <w:tab/>
      </w:r>
      <w:r>
        <w:t>Senior Associate</w:t>
      </w:r>
    </w:p>
    <w:p>
      <w:r>
        <w:rPr>
          <w:b/>
        </w:rPr>
        <w:t>DATE:</w:t>
        <w:tab/>
      </w:r>
      <w:r>
        <w:t>June 27, 2025</w:t>
      </w:r>
    </w:p>
    <w:p>
      <w:r>
        <w:rPr>
          <w:b/>
        </w:rPr>
        <w:t>RE:</w:t>
        <w:tab/>
      </w:r>
      <w:r>
        <w:t>Analysis of Kennedy v. Braidwood Management, Inc., 606 U.S. 748 (2025) - Implications for Coalition Clients</w:t>
      </w:r>
    </w:p>
    <w:p>
      <w:r>
        <w:t>________________________________________________________________________________</w:t>
      </w:r>
    </w:p>
    <w:p>
      <w:pPr>
        <w:pStyle w:val="Heading1"/>
      </w:pPr>
      <w:r>
        <w:t>I. Summary of the Holding and Reasoning</w:t>
      </w:r>
    </w:p>
    <w:p>
      <w:r>
        <w:rPr>
          <w:b w:val="0"/>
        </w:rPr>
        <w:t>The Supreme Court's decision in Kennedy v. Braidwood Management, Inc., 606 U.S. 748 (2025), resolved a significant constitutional challenge to the Affordable Care Act's (ACA) preventive-services coverage framework. The Court held that members of the U.S. Preventive Services Task Force are inferior officers under the Appointments Clause of Article II, Section 2, Clause 2, and that their appointment by the Secretary of Health and Human Services (HHS) is constitutionally valid. The decision reversed the Fifth Circuit's ruling that Task Force members were principal officers requiring Presidential nomination and Senate confirmation.</w:t>
      </w:r>
    </w:p>
    <w:p>
      <w:r>
        <w:rPr>
          <w:b w:val="0"/>
        </w:rPr>
        <w:t>The Court's analysis applied the framework established in Edmond v. United States, 520 U.S. 651 (1997), which defines inferior officers as those "whose work is directed and supervised at some level by others who were appointed by Presidential nomination with the advice and consent of the Senate." The Court identified two primary sources of the Secretary's supervisory authority over Task Force members. First, the Secretary's power to remove members at will constitutes a "powerful tool for control," citing Edmond, 520 U.S., at 664. The Court noted that no statute restricts the Secretary's removal power, creating the "presumed desire to avoid removal" that produces "here-and-now subservience," quoting Bowsher v. Synar, 478 U.S. 714, 727, n. 5.</w:t>
      </w:r>
    </w:p>
    <w:p>
      <w:r>
        <w:rPr>
          <w:b w:val="0"/>
        </w:rPr>
        <w:t>Second, beyond removal authority, the Court found that the Secretary possesses statutory authority to directly review and block Task Force recommendations before they become binding. The Court cited several statutes granting the Secretary general supervisory authority over the Public Health Service, within which the Task Force is housed, including 42 U.S.C. Sections 202, 300gg-92, and Reorganization Plan No. 3 of 1966. The Court emphasized that during the minimum one-year interval before recommendations become binding under 42 U.S.C. Section 300gg-13(a)(1), the Secretary can direct that recommendations he disagrees with not be "in effect" and therefore not be binding. Consequently, the Court concluded, Task Force members "have no power to render a final decision on behalf of the United States unless permitted to do so by" the Secretary, quoting Edmond, 520 U.S., at 665.</w:t>
      </w:r>
    </w:p>
    <w:p>
      <w:pPr>
        <w:pStyle w:val="Heading1"/>
      </w:pPr>
      <w:r>
        <w:t>II. Analysis of Rejected Arguments from Braidwood's Position</w:t>
      </w:r>
    </w:p>
    <w:p>
      <w:r>
        <w:rPr>
          <w:b w:val="0"/>
        </w:rPr>
        <w:t>The Court rejected four principal arguments advanced by Braidwood against inferior-officer status. First, Braidwood argued that the statute's declaration that Task Force members shall be "independent and, to the extent practicable, not subject to political pressure" under 42 U.S.C. Section 299b-4(a)(6) created a for-cause removal protection, displacing the default at-will removal rule. The Court disagreed, holding that to displace at-will removal, Congress must use "very clear and explicit language" and that "mere inference or implication" does not suffice, citing Shurtleff v. United States, 189 U.S. 311, 315. The Court further noted that the term "independent" alone does not make an officer removable only for cause, as established in Collins v. Yellen, 594 U.S. 220.</w:t>
      </w:r>
    </w:p>
    <w:p>
      <w:r>
        <w:rPr>
          <w:b w:val="0"/>
        </w:rPr>
        <w:t>Second, the Court addressed Braidwood's claim that the independence requirement meant the Task Force was completely insulated from the Secretary. The Court interpreted "independent" to mean that Task Force members must not be unduly influenced by their outside professional affiliations with universities, hospitals, and professional associations. The Court further reasoned that even if the provision created some insulation from the Secretary when "practicable," this would affect only the formulation of recommendations, not the Secretary's authority to review them before they take effect. This structure, the Court observed, mirrors the "almost-universal model of adjudication in the Executive Branch" where inferior officers make independent initial decisions subject to review by politically accountable superiors, quoting United States v. Arthrex, 594 U.S. 1, 25 (opinion of Roberts, C.J.).</w:t>
      </w:r>
    </w:p>
    <w:p>
      <w:r>
        <w:rPr>
          <w:b w:val="0"/>
        </w:rPr>
        <w:t>Third, Braidwood contended that the Secretary's inability to compel the Task Force to issue particular "A" or "B" recommendations undermined inferior-officer status. The Court rejected this, stating it has not suggested that a principal officer must be able to compel subordinates to take affirmative acts for them to qualify as inferior officers. The Court drew parallels to Free Enterprise Fund v. Public Company Accounting Oversight Bd., 561 U.S. 477, where the SEC lacked power to require the PCAOB to "start" investigations, yet PCAOB members were inferior officers. Similarly, in Edmond and Arthrex, superiors could not compel initial decisions.</w:t>
      </w:r>
    </w:p>
    <w:p>
      <w:r>
        <w:rPr>
          <w:b w:val="0"/>
        </w:rPr>
        <w:t>Finally, the Court noted that when Congress intends to create an independent agency, it generally does so by explicitly conferring for-cause removal protection and usually couples that with express Presidential nomination and Senate confirmation requirements. The statute establishing the Task Force contains none of this customary language, further supporting the conclusion that Task Force members are inferior officers.</w:t>
      </w:r>
    </w:p>
    <w:p>
      <w:pPr>
        <w:pStyle w:val="Heading1"/>
      </w:pPr>
      <w:r>
        <w:t>III. Impact on Future Challenges and Interpretation of Key Provisions</w:t>
      </w:r>
    </w:p>
    <w:p>
      <w:r>
        <w:rPr>
          <w:b w:val="0"/>
        </w:rPr>
        <w:t>The Court's decision significantly narrows the viability of future constitutional challenges to the Task Force's structure based on the Appointments Clause. By holding that Task Force members are inferior officers, the Court has validated the appointment mechanism and, by extension, the legitimacy of the recommendations that trigger ACA coverage requirements. The decision confirms that the Secretary's supervisory authorities, consisting of at-will removal and pre-binding review, are sufficient to satisfy constitutional requirements for inferior officers, even when a statute includes language suggesting some operational independence.</w:t>
      </w:r>
    </w:p>
    <w:p>
      <w:r>
        <w:rPr>
          <w:b w:val="0"/>
        </w:rPr>
        <w:t>The Court's interpretation of the "independence" provision is particularly noteworthy for its potential impact beyond this case. By defining "independent" to relate to members' freedom from outside professional influences rather than insulation from the Secretary, the Court has provided a narrow reading that preserves executive control. This interpretation may be applied in other contexts where statutes use similar language to describe agency components, potentially limiting claims that such language creates for-cause removal protections or complete autonomy from department heads.</w:t>
      </w:r>
    </w:p>
    <w:p>
      <w:r>
        <w:rPr>
          <w:b w:val="0"/>
        </w:rPr>
        <w:t>The Court's emphasis on the Secretary's dual supervisory mechanisms establishes a robust framework for executive oversight. The at-will removal power alone provides a strong basis for control, but the Court's additional focus on the pre-binding review authority under 42 U.S.C. Section 300gg-13(a)(1) creates a two-layered supervisory structure. Future challenges would need to overcome both prongs to succeed. The decision suggests that challenges to similar appointment structures would require showing that a superior officer lacks both removal authority and substantive review power over the subordinate's decisions.</w:t>
      </w:r>
    </w:p>
    <w:p>
      <w:r>
        <w:rPr>
          <w:b w:val="0"/>
        </w:rPr>
        <w:t>While the Appointments Clause challenge has been foreclosed, the decision leaves open the possibility of other constitutional or statutory challenges to the ACA's preventive-services requirements. For example, challenges could potentially focus on the substantive content of specific Task Force recommendations, the procedures used in formulating recommendations, or the application of requirements to specific types of insurance plans. However, the Court's broad validation of the Task Force's constitutional structure makes it more difficult to mount facial challenges to the coverage framework itself.</w:t>
      </w:r>
    </w:p>
    <w:p>
      <w:pPr>
        <w:pStyle w:val="Heading1"/>
      </w:pPr>
      <w:r>
        <w:t>IV. Precedential Value of Key Supreme Court Cases</w:t>
      </w:r>
    </w:p>
    <w:p>
      <w:r>
        <w:rPr>
          <w:b w:val="0"/>
        </w:rPr>
        <w:t>The Court's opinion extensively relies on and distinguishes three key precedents regarding inferior-officer status, strengthening their precedential value. In Edmond v. United States, 520 U.S. 651 (1997), Coast Guard judges who were removable at will and whose decisions could be reviewed and reversed were deemed inferior officers. The Court applied this reasoning directly, holding that Task Force members who are similarly removable at will and subject to review by the Secretary are clearly inferior officers. The Court emphasized that, like the Coast Guard judges, Task Force members' supervisors need not influence individual proceedings to maintain control.</w:t>
      </w:r>
    </w:p>
    <w:p>
      <w:r>
        <w:rPr>
          <w:b w:val="0"/>
        </w:rPr>
        <w:t>The Court's discussion of Free Enterprise Fund v. Public Company Accounting Oversight Bd., 561 U.S. 477 (2010), further reinforced the analysis. In that case, PCAOB members who were removable at will by the Securities and Exchange Commission were deemed inferior officers, even though they were "empowered to take significant enforcement actions largely independently of the Commission." The Court applied this precedent to reject the argument that the Task Force's ability to formulate recommendations independently undermined inferior-officer status. This confirms that formal independence in certain functions does not override the supervisory control inherent in removal authority.</w:t>
      </w:r>
    </w:p>
    <w:p>
      <w:r>
        <w:rPr>
          <w:b w:val="0"/>
        </w:rPr>
        <w:t>The Court also drew significant parallels to United States v. Arthrex, 594 U.S. 1 (2021), involving Administrative Patent Judges (APJs). In Arthrex, APJs whose decisions were reviewable but who were removable only for cause were held to be inferior officers. The Court reasoned that if APJs subject only to review authority are inferior officers, Task Force members subject to both at-will removal and review authority are "clearly inferior officers." This comparison is particularly instructive because it demonstrates that the presence of for-cause removal protections does not automatically elevate officers to principal status if sufficient review mechanisms exist. The Court's opinion thus solidifies a spectrum of supervisory controls that can satisfy the inferior-officer classification, with at-will removal being the most direct tool.</w:t>
      </w:r>
    </w:p>
    <w:p>
      <w:pPr>
        <w:pStyle w:val="Heading1"/>
      </w:pPr>
      <w:r>
        <w:t>V. Practical Assessment of Remaining Legal Avenues</w:t>
      </w:r>
    </w:p>
    <w:p>
      <w:r>
        <w:rPr>
          <w:b w:val="0"/>
        </w:rPr>
        <w:t>Following the Supreme Court's decision, the legal avenues for clients objecting to the ACA's preventive-services coverage requirements are substantially narrowed but not entirely foreclosed. The most promising remaining avenue involves as-applied challenges to specific Task Force recommendations rather than facial challenges to the Task Force's structure. Clients could potentially challenge particular recommendations on grounds such as that the recommendation process lacked adequate scientific evidence, that the Task Force failed to follow proper procedures in formulating a specific recommendation, or that the application of a recommendation to their particular insurance plan is arbitrary or capricious under the Administrative Procedure Act.</w:t>
      </w:r>
    </w:p>
    <w:p>
      <w:r>
        <w:rPr>
          <w:b w:val="0"/>
        </w:rPr>
        <w:t>Procedural challenges to how the Task Force formulates recommendations represent another potential avenue. The Court's opinion focused on the appointment and supervisory structure but did not extensively address the specific procedures used in developing recommendations. Clients could argue that certain recommendations were developed without adequate public participation, transparency, or consideration of contrary evidence. However, such challenges would face the hurdle of the Secretary's review authority, which provides a check on procedurally deficient recommendations before they become binding.</w:t>
      </w:r>
    </w:p>
    <w:p>
      <w:r>
        <w:rPr>
          <w:b w:val="0"/>
        </w:rPr>
        <w:t>Statutory challenges under other provisions of the ACA remain possible. For example, challenges might focus on whether specific preventive services requirements exceed the scope of the statute, or whether the implementation of requirements through insurance regulations is consistent with the statutory framework. The Court's decision validates the Task Force's appointment structure but does not foreclose arguments about how specific recommendations are implemented through the insurance regulatory framework.</w:t>
      </w:r>
    </w:p>
    <w:p>
      <w:r>
        <w:rPr>
          <w:b w:val="0"/>
        </w:rPr>
        <w:t>Finally, clients should consider non-litigation strategies. Administrative petitions for rulemaking or requests for advisory opinions from HHS could allow clients to advocate for changes to specific coverage requirements or implementation procedures. Legislative advocacy for amendments to the ACA's preventive-services provisions remains an option, though politically challenging. Given the Court's definitive ruling on the constitutional structure, a strategic approach would combine targeted as-applied challenges with administrative advocacy, focusing resources on specific recommendations that most directly impact the coalition clients' insurance plans and employees.</w:t>
      </w:r>
    </w:p>
    <w:p/>
    <w:p>
      <w:r>
        <w:t>Prepared by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