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Investment Memo - NVIDIA Corporation</w:t>
      </w:r>
    </w:p>
    <w:p>
      <w:r>
        <w:rPr>
          <w:b/>
        </w:rPr>
        <w:t>TO:</w:t>
        <w:tab/>
      </w:r>
      <w:r>
        <w:t>Investment Committee</w:t>
      </w:r>
    </w:p>
    <w:p>
      <w:r>
        <w:rPr>
          <w:b/>
        </w:rPr>
        <w:t>FROM:</w:t>
        <w:tab/>
      </w:r>
      <w:r>
        <w:t>Growth Equity Research Team</w:t>
      </w:r>
    </w:p>
    <w:p>
      <w:r>
        <w:rPr>
          <w:b/>
        </w:rPr>
        <w:t>DATE:</w:t>
        <w:tab/>
      </w:r>
      <w:r>
        <w:t>2026-05-15</w:t>
      </w:r>
    </w:p>
    <w:p>
      <w:r>
        <w:rPr>
          <w:b/>
        </w:rPr>
        <w:t>RE:</w:t>
        <w:tab/>
      </w:r>
      <w:r>
        <w:t>NVIDIA Corporation (NVDA) - Investment Memorandum</w:t>
      </w:r>
    </w:p>
    <w:p>
      <w:r>
        <w:t>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