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Janssen v. Teva Obviousness Analysis</w:t>
      </w:r>
    </w:p>
    <w:p>
      <w:r>
        <w:rPr>
          <w:b/>
        </w:rPr>
        <w:t>TO:</w:t>
        <w:tab/>
      </w:r>
      <w:r>
        <w:t>Senior Partner</w:t>
      </w:r>
    </w:p>
    <w:p>
      <w:r>
        <w:rPr>
          <w:b/>
        </w:rPr>
        <w:t>FROM:</w:t>
        <w:tab/>
      </w:r>
      <w:r>
        <w:t>Associate</w:t>
      </w:r>
    </w:p>
    <w:p>
      <w:r>
        <w:rPr>
          <w:b/>
        </w:rPr>
        <w:t>DATE:</w:t>
        <w:tab/>
      </w:r>
      <w:r>
        <w:t>July 10, 2025</w:t>
      </w:r>
    </w:p>
    <w:p>
      <w:r>
        <w:rPr>
          <w:b/>
        </w:rPr>
        <w:t>RE:</w:t>
        <w:tab/>
      </w:r>
      <w:r>
        <w:t>Analysis of Janssen Pharmaceuticals, Inc. v. Teva Pharmaceuticals USA, Inc., 141 F.4th 1367 (Fed. Cir. 2025)</w:t>
      </w:r>
    </w:p>
    <w:p>
      <w:r>
        <w:t>________________________________________________________________________________</w:t>
      </w:r>
    </w:p>
    <w:p>
      <w:pPr>
        <w:pStyle w:val="Heading2"/>
      </w:pPr>
      <w:r>
        <w:t>Case Background and Procedural History</w:t>
      </w:r>
    </w:p>
    <w:p>
      <w:r>
        <w:rPr>
          <w:b w:val="0"/>
        </w:rPr>
        <w:t>This memorandum analyzes the Federal Circuit's decision in Janssen Pharmaceuticals, Inc. v. Teva Pharmaceuticals USA, Inc., 141 F.4th 1367 (Fed. Cir. 2025). The plaintiffs-appellees are Janssen Pharmaceuticals, Inc. and Janssen Pharmaceutica NV (collectively, "Janssen"). The defendants-appellants are Teva Pharmaceuticals USA, Inc. ("Teva") and Mylan Laboratories Ltd. ("Mylan"), though the court refers primarily to Teva for simplicity.</w:t>
      </w:r>
    </w:p>
    <w:p>
      <w:r>
        <w:rPr>
          <w:b w:val="0"/>
        </w:rPr>
        <w:t>The case originated in the United States District Court for the District of New Jersey, before Judge Claire C. Cecchi. Janssen sued Teva in 2018, alleging infringement of U.S. Patent No. 9,439,906 (the "'906 patent"). Teva stipulated to infringement but challenged the patent's validity on grounds of obviousness and indefiniteness. After a bench trial, the district court held that the challenged claims were not shown to be invalid. Janssen Pharmaceuticals, Inc. v. Teva Pharmaceuticals USA, Inc., 571 F. Supp. 3d 281, 291 (D.N.J. 2021) (the "Initial Decision").</w:t>
      </w:r>
    </w:p>
    <w:p>
      <w:r>
        <w:rPr>
          <w:b w:val="0"/>
        </w:rPr>
        <w:t>On Teva's appeal in 2024, the Federal Circuit affirmed the district court's rejection of the indefiniteness challenge but vacated the rejection of the obviousness challenge and remanded for further proceedings. Janssen Pharmaceuticals, Inc. v. Teva Pharmaceuticals USA, Inc., 97 F.4th 915, 918 (Fed. Cir. 2024) ("Janssen 2024"). On remand, the district court reconsidered obviousness based on the existing trial record and new submissions from the parties, and again held that Teva had not proved the asserted claims invalid for obviousness. Janssen Pharmaceuticals, Inc. v. Teva Pharmaceuticals USA, Inc., 760 F. Supp. 3d 184, 190 (D.N.J. 2024) (the "Remand Decision"). Teva's timely appeal of the Remand Decision is the subject of the present opinion.</w:t>
      </w:r>
    </w:p>
    <w:p>
      <w:pPr>
        <w:pStyle w:val="Heading2"/>
      </w:pPr>
      <w:r>
        <w:t>The Patented Technology and Representative Claims</w:t>
      </w:r>
    </w:p>
    <w:p>
      <w:r>
        <w:rPr>
          <w:b w:val="0"/>
        </w:rPr>
        <w:t>The '906 patent describes and claims dosing regimens of paliperidone palmitate, an ester form of paliperidone. The patent covers Janssen's Invega Sustenna-brand paliperidone palmitate extended-release suspension products, which are used to treat schizophrenia in adults. Paliperidone palmitate converts in the human body into paliperidone, a prior-art antipsychotic medication that was commercially available in tablet form for oral administration.</w:t>
      </w:r>
    </w:p>
    <w:p>
      <w:r>
        <w:rPr>
          <w:b w:val="0"/>
        </w:rPr>
        <w:t>The oral medication had to be taken at frequent intervals, such as daily, and patient noncompliance often resulted in worsening of symptoms, suboptimal treatment response, frequent relapses and re-hospitalizations, and an inability to benefit from rehabilitative and psychosocial therapies. The '906 patent addresses this noncompliance problem through a proposed treatment regimen using a long-acting injectable formulation of paliperidone palmitate, administered less frequently than oral medication. This injectable formulation can provide sustained plasma concentrations of paliperidone when administered once monthly, which may greatly enhance compliance with dosing.</w:t>
      </w:r>
    </w:p>
    <w:p>
      <w:r>
        <w:rPr>
          <w:b w:val="0"/>
        </w:rPr>
        <w:t>The parties agree that claims 2, 10, 13, 20, and 21 are representative. Claim 2 recites a dosing regimen in which a patient is administered a first loading dose of about 150 mg-eq. (milligram-equivalents) and, about a week later, a second loading dose of about 100 mg-eq. These are followed by monthly maintenance doses of 25–150 mg-eq. The milligram-equivalent measure refers to the equivalent amount of paliperidone the doses contain, not the actual weight of the paliperidone palmitate. The loading doses are injected into the patient's deltoid muscle, while maintenance doses may be injected into the deltoid or gluteal muscle.</w:t>
      </w:r>
    </w:p>
    <w:p>
      <w:pPr>
        <w:pStyle w:val="Heading2"/>
      </w:pPr>
      <w:r>
        <w:t>The Federal Circuit's Obviousness Analysis</w:t>
      </w:r>
    </w:p>
    <w:p>
      <w:r>
        <w:rPr>
          <w:b w:val="0"/>
        </w:rPr>
        <w:t>The Federal Circuit affirmed the district court's decision on remand, holding that Teva had not proved any of the asserted claims of the '906 patent invalid for obviousness. The court applied the framework established in Graham v. John Deere Co., 383 U.S. 1 (1966), which requires determining the scope and content of the prior art, the differences between the prior art and the claims at issue, and the level of ordinary skill in the art.</w:t>
      </w:r>
    </w:p>
    <w:p>
      <w:r>
        <w:rPr>
          <w:b w:val="0"/>
        </w:rPr>
        <w:t>The court evaluated the prior art references and the district court's findings regarding what those references disclosed. The Federal Circuit gave deference to the district court's factual findings, which were based on the trial record and the parties' submissions on remand. The district court had found that the prior art did not render the specific claimed dosing regimens obvious, and the Federal Circuit found no clear error in those findings.</w:t>
      </w:r>
    </w:p>
    <w:p>
      <w:r>
        <w:rPr>
          <w:b w:val="0"/>
        </w:rPr>
        <w:t>The opinion indicates the court considered objective indicia of non-obviousness, which are part of the Graham analysis. These considerations, such as long-felt but unsolved need, failure of others, and commercial success, can serve as evidence against a finding of obviousness. The Federal Circuit's affirmance suggests it agreed with the district court's weighing of this evidence in favor of patentability.</w:t>
      </w:r>
    </w:p>
    <w:p>
      <w:r>
        <w:rPr>
          <w:b w:val="0"/>
        </w:rPr>
        <w:t>The court's analysis underscores that for pharmaceutical dosing regimen patents, the specific parameters of the claimed regimen—such as particular dose amounts, sequences, and administration sites—may not be obvious even if the general concept of an injectable formulation is known. The Federal Circuit upheld the district court's conclusion that Teva had not met its burden of proving obviousness by clear and convincing evidence.</w:t>
      </w:r>
    </w:p>
    <w:p>
      <w:pPr>
        <w:pStyle w:val="Heading2"/>
      </w:pPr>
      <w:r>
        <w:t>Key Takeaways and Implications for Dosing Regimen Patents</w:t>
      </w:r>
    </w:p>
    <w:p>
      <w:r>
        <w:rPr>
          <w:b w:val="0"/>
        </w:rPr>
        <w:t>Based on the Federal Circuit's decision in Janssen v. Teva, the following key takeaways are relevant for evaluating the obviousness of pharmaceutical dosing regimen patents:</w:t>
      </w:r>
    </w:p>
    <w:p>
      <w:r>
        <w:rPr>
          <w:b w:val="0"/>
        </w:rPr>
        <w:t xml:space="preserve">- </w:t>
      </w:r>
      <w:r>
        <w:rPr>
          <w:b/>
        </w:rPr>
        <w:t>Objective Indicia are Critical</w:t>
      </w:r>
      <w:r>
        <w:rPr>
          <w:b w:val="0"/>
        </w:rPr>
        <w:t>: The court's affirmance highlights the importance of evidence such as long-felt but unsolved need, failure of others, and commercial success. In this case, the problem of patient noncompliance with oral antipsychotics was known, but a satisfactory long-acting injectable solution was not achieved until the claimed regimen. Such objective evidence can be decisive in overcoming an obviousness challenge.</w:t>
      </w:r>
    </w:p>
    <w:p>
      <w:r>
        <w:rPr>
          <w:b w:val="0"/>
        </w:rPr>
        <w:t xml:space="preserve">- </w:t>
      </w:r>
      <w:r>
        <w:rPr>
          <w:b/>
        </w:rPr>
        <w:t>Specificity in Prior Art is Required</w:t>
      </w:r>
      <w:r>
        <w:rPr>
          <w:b w:val="0"/>
        </w:rPr>
        <w:t>: A general suggestion in the prior art to use a long-acting injectable formulation may not render a specific dosing regimen with particular loading doses, maintenance doses, and administration sites obvious. Challengers must show that the prior art taught or suggested the specific parameters of the claimed invention, not merely the general concept.</w:t>
      </w:r>
    </w:p>
    <w:p>
      <w:r>
        <w:rPr>
          <w:b w:val="0"/>
        </w:rPr>
        <w:t xml:space="preserve">- </w:t>
      </w:r>
      <w:r>
        <w:rPr>
          <w:b/>
        </w:rPr>
        <w:t>Deference to District Court Findings</w:t>
      </w:r>
      <w:r>
        <w:rPr>
          <w:b w:val="0"/>
        </w:rPr>
        <w:t>: The Federal Circuit reviews a district court's obviousness determination for clear error on factual findings. The district court's detailed findings based on the trial record and expert testimony were upheld, emphasizing the importance of building a strong factual record during the initial proceedings.</w:t>
      </w:r>
    </w:p>
    <w:p>
      <w:r>
        <w:rPr>
          <w:b w:val="0"/>
        </w:rPr>
        <w:t xml:space="preserve">- </w:t>
      </w:r>
      <w:r>
        <w:rPr>
          <w:b/>
        </w:rPr>
        <w:t>Burden of Proof Remains High</w:t>
      </w:r>
      <w:r>
        <w:rPr>
          <w:b w:val="0"/>
        </w:rPr>
        <w:t>: The decision reaffirms that invalidity for obviousness must be proven by clear and convincing evidence. Teva's inability to meet this burden, even after a remand, illustrates the difficulty of invalidating pharmaceutical patents, particularly those claiming specific treatment regimens that address known clinical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