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Memorandum: Analysis of United States v. Runner</w:t>
      </w:r>
    </w:p>
    <w:p>
      <w:r>
        <w:rPr>
          <w:b/>
        </w:rPr>
        <w:t>TO:</w:t>
        <w:tab/>
      </w:r>
      <w:r>
        <w:t>Senior Partner, Appellate Litigation Group</w:t>
      </w:r>
    </w:p>
    <w:p>
      <w:r>
        <w:rPr>
          <w:b/>
        </w:rPr>
        <w:t>FROM:</w:t>
        <w:tab/>
      </w:r>
      <w:r>
        <w:t>Junior Associate</w:t>
      </w:r>
    </w:p>
    <w:p>
      <w:r>
        <w:rPr>
          <w:b/>
        </w:rPr>
        <w:t>DATE:</w:t>
        <w:tab/>
      </w:r>
      <w:r>
        <w:t>July 2025</w:t>
      </w:r>
    </w:p>
    <w:p>
      <w:r>
        <w:rPr>
          <w:b/>
        </w:rPr>
        <w:t>RE:</w:t>
        <w:tab/>
      </w:r>
      <w:r>
        <w:t>Legal Analysis of United States v. Runner, 143 F.4th 146 (2d Cir. 2025)</w:t>
      </w:r>
    </w:p>
    <w:p>
      <w:r>
        <w:t>________________________________________________________________________________</w:t>
      </w:r>
    </w:p>
    <w:p>
      <w:pPr>
        <w:pStyle w:val="Heading2"/>
      </w:pPr>
      <w:r>
        <w:t>Case Summary</w:t>
      </w:r>
    </w:p>
    <w:p>
      <w:r>
        <w:rPr>
          <w:b w:val="0"/>
        </w:rPr>
        <w:t>This memorandum analyzes the Second Circuit's decision in United States v. Runner, 143 F.4th 146 (2d Cir. 2025). The case involves the criminal conviction of Patrice Runner for his role in a mass-mailing enterprise that used false and misleading advertising to sell purportedly supernatural objects and psychic services.</w:t>
      </w:r>
    </w:p>
    <w:p>
      <w:r>
        <w:rPr>
          <w:b w:val="0"/>
        </w:rPr>
        <w:t>From the 1990s through the 2010s, Runner operated a mass-mailing enterprise through his company, Direct Marketing Concepts ("DMC"). DMC sent letters to hundreds of thousands of people in the United States and Canada, purporting to be from renowned psychics, including Maria Duval. The letters falsely claimed that the psychic had a vision about the recipient and offered various supernatural goods and services in exchange for payments of approximately $45 each. In reality, the customers received mass-produced trinkets or generic responses, and no personalized psychic services were ever rendered. The enterprise generated over $150,000,000 in revenue.</w:t>
      </w:r>
    </w:p>
    <w:p>
      <w:r>
        <w:rPr>
          <w:b w:val="0"/>
        </w:rPr>
        <w:t>A jury convicted Runner of mail and wire fraud, among other crimes. On appeal, Runner contended that his convictions must be vacated because the Government's theory of fraud was legally defective. He argued that this error infected (1) his indictment, (2) the sufficiency of the evidence, and (3) the jury instructions. The Second Circuit, following the Supreme Court's decision in Kousisis v. United States, 145 S. Ct. 1382 (2025), rejected Runner's arguments and affirmed the convictions.</w:t>
      </w:r>
    </w:p>
    <w:p>
      <w:pPr>
        <w:pStyle w:val="Heading2"/>
      </w:pPr>
      <w:r>
        <w:t>Legal Analysis of the Fraud Theory</w:t>
      </w:r>
    </w:p>
    <w:p>
      <w:r>
        <w:rPr>
          <w:b w:val="0"/>
        </w:rPr>
        <w:t>Runner's central argument on appeal was that the Government's theory of fraud was legally defective, requiring vacation of his convictions. The Government's theory was that Runner engaged in a scheme to defraud through the use of false and misleading advertising in mass mailings, which induced victims to pay for goods and services that were not as represented. The court analyzed this theory in light of the Supreme Court's recent decision in Kousisis v. United States, 145 S. Ct. 1382 (2025).</w:t>
      </w:r>
    </w:p>
    <w:p>
      <w:r>
        <w:rPr>
          <w:b w:val="0"/>
        </w:rPr>
        <w:t>The legal standard for mail fraud under 18 U.S.C. § 1341 requires proof of (1) a scheme to defraud, (2) use of the mails in furtherance of the scheme, and (3) specific intent to defraud. The Government argued that Runner's scheme involved materially false and misleading representations about the nature and quality of the goods and services offered, which induced victims to make payments. The representations included claims that the letters were from psychics who had personally read the recipients' questionnaires and would provide personalized services, when in fact the mailings were generic and the services were never performed.</w:t>
      </w:r>
    </w:p>
    <w:p>
      <w:r>
        <w:rPr>
          <w:b w:val="0"/>
        </w:rPr>
        <w:t>The Second Circuit held that the Government's fraud theory was not legally defective. The court followed the Supreme Court's analysis in Kousisis, which addressed the scope of federal fraud statutes. The court concluded that the evidence presented at trial was sufficient to establish a scheme to defraud through materially false representations, and that the jury instructions properly stated the law. The court rejected Runner's argument that the fraud theory was defective because the victims received something of value (the trinkets), holding that the misrepresentations about the nature and quality of the goods and services were material and induced the payments.</w:t>
      </w:r>
    </w:p>
    <w:p>
      <w:r>
        <w:rPr>
          <w:b w:val="0"/>
        </w:rPr>
        <w:t>The court's analysis focused on the materiality of the false representations. The mailings claimed that the psychics had specific visions about the recipients, that the objects possessed supernatural powers, and that the services would provide personalized psychic assistance. These representations went to the very essence of the bargain, as they were the primary reason customers made payments. The court found that these were not mere puffery or sales talk, but factual misrepresentations that could sustain a fraud conviction.</w:t>
      </w:r>
    </w:p>
    <w:p>
      <w:pPr>
        <w:pStyle w:val="Heading2"/>
      </w:pPr>
      <w:r>
        <w:t>Key Holdings and Precedential Value</w:t>
      </w:r>
    </w:p>
    <w:p>
      <w:r>
        <w:rPr>
          <w:b w:val="0"/>
        </w:rPr>
        <w:t>The Second Circuit addressed and rejected each of Runner's specific arguments on appeal. First, the court rejected Runner's challenge to the indictment. Runner argued that the indictment was defective because it charged a legally defective theory of fraud. The court held that the indictment was sufficient because it alleged all the elements of mail and wire fraud, including a scheme to defraud involving materially false and misleading representations.</w:t>
      </w:r>
    </w:p>
    <w:p>
      <w:r>
        <w:rPr>
          <w:b w:val="0"/>
        </w:rPr>
        <w:t>Second, the court rejected Runner's sufficiency of the evidence challenge. The court reviewed the evidence in the light most favorable to the Government, as required for a criminal appeal, citing United States v. Gasperini, 894 F.3d 482, 485 (2d Cir. 2018). The court found that the evidence was sufficient to establish that Runner operated a scheme to defraud through false and misleading mailings, that the mailings used the mails in furtherance of the scheme, and that Runner acted with specific intent to defraud. The evidence showed that DMC sent mailings to over one million customers, that the mailings contained numerous false claims, and that the scheme generated over $150,000,000.</w:t>
      </w:r>
    </w:p>
    <w:p>
      <w:r>
        <w:rPr>
          <w:b w:val="0"/>
        </w:rPr>
        <w:t>Third, the court addressed Runner's argument regarding jury instructions. Runner argued that the jury instructions were erroneous because they reflected the same defective fraud theory. The court held that the jury instructions properly stated the law and accurately reflected the Government's theory of the case. The instructions required the jury to find that Runner engaged in a scheme to defraud involving materially false representations.</w:t>
      </w:r>
    </w:p>
    <w:p>
      <w:r>
        <w:rPr>
          <w:b w:val="0"/>
        </w:rPr>
        <w:t>Fourth, the court held that any error committed by the district court at sentencing in estimating the loss caused by Runner's enterprise was harmless. This holding addressed a separate issue related to the calculation of the sentence. The court concluded that even if there was an error in the loss estimation, it did not affect Runner's substantial rights and therefore did not require reversal.</w:t>
      </w:r>
    </w:p>
    <w:p>
      <w:pPr>
        <w:pStyle w:val="Heading2"/>
      </w:pPr>
      <w:r>
        <w:t>Practical Implications</w:t>
      </w:r>
    </w:p>
    <w:p>
      <w:r>
        <w:rPr>
          <w:b w:val="0"/>
        </w:rPr>
        <w:t>The Runner decision has significant practical implications for mail and wire fraud prosecutions, particularly those involving deceptive marketing schemes. For prosecutors, the decision reinforces the Government's ability to pursue fraud charges based on materially false and misleading advertising, even where the defendant provides some tangible product to the victims. The court's focus on the materiality of the misrepresentations—specifically, that the claims about psychic visions and supernatural powers went to the essence of the bargain—provides a clear framework for future prosecutions.</w:t>
      </w:r>
    </w:p>
    <w:p>
      <w:r>
        <w:rPr>
          <w:b w:val="0"/>
        </w:rPr>
        <w:t>For defendants, the decision narrows the available defenses. The court's rejection of the argument that the fraud theory was legally defective because victims received something of value means that defendants cannot simply point to the delivery of a product to defeat fraud charges. Instead, the key inquiry is whether the misrepresentations were material and induced the victims to part with their money. This makes it more difficult for defendants in similar mass-marketing schemes to argue that they were merely engaged in aggressive sales tactics rather than criminal fraud.</w:t>
      </w:r>
    </w:p>
    <w:p>
      <w:r>
        <w:rPr>
          <w:b w:val="0"/>
        </w:rPr>
        <w:t>The court's reliance on the Supreme Court's decision in Kousisis v. United States, 145 S. Ct. 1382 (2025), suggests that the legal landscape for federal fraud cases is becoming more defined. Practitioners should closely monitor developments in this area, as the Supreme Court's guidance in Kousisis will likely influence future fraud prosecutions and defenses. The Runner decision demonstrates that lower courts are applying Kousisis to uphold fraud convictions based on deceptive marketing schemes.</w:t>
      </w:r>
    </w:p>
    <w:p>
      <w:r>
        <w:rPr>
          <w:b w:val="0"/>
        </w:rPr>
        <w:t>Defendants charged with mail or wire fraud based on marketing schemes should carefully examine the nature of the representations made. If the representations are merely opinions, puffery, or sales talk, they may not constitute fraud. However, if the representations are factual claims about the nature, quality, or origin of the goods or services, they may be actionable. The Runner case illustrates that claims about supernatural powers and personalized psychic services are likely to be considered material misrepresentations that can support a fraud conviction.</w:t>
      </w:r>
    </w:p>
    <w:p/>
    <w:p>
      <w:r>
        <w:t>Prepared by: Junior Associate, Appellate Litigation 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