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Credit Memorandum - Exxon Mobil Corporation</w:t>
      </w:r>
    </w:p>
    <w:p>
      <w:r>
        <w:rPr>
          <w:b/>
        </w:rPr>
        <w:t>TO:</w:t>
        <w:tab/>
      </w:r>
      <w:r>
        <w:t>Credit Committee</w:t>
      </w:r>
    </w:p>
    <w:p>
      <w:r>
        <w:rPr>
          <w:b/>
        </w:rPr>
        <w:t>FROM:</w:t>
        <w:tab/>
      </w:r>
      <w:r>
        <w:t>Energy &amp; Utilities Lending Team</w:t>
      </w:r>
    </w:p>
    <w:p>
      <w:r>
        <w:rPr>
          <w:b/>
        </w:rPr>
        <w:t>DATE:</w:t>
        <w:tab/>
      </w:r>
      <w:r>
        <w:t>May 2026</w:t>
      </w:r>
    </w:p>
    <w:p>
      <w:r>
        <w:rPr>
          <w:b/>
        </w:rPr>
        <w:t>RE:</w:t>
        <w:tab/>
      </w:r>
      <w:r>
        <w:t>Credit Assessment - Exxon Mobil Corporation (XOM)</w:t>
      </w:r>
    </w:p>
    <w:p>
      <w:r>
        <w:t>________________________________________________________________________________</w:t>
      </w:r>
    </w:p>
    <w:p>
      <w:pPr>
        <w:pStyle w:val="Heading1"/>
      </w:pPr>
      <w:r>
        <w:t>Executive Summary</w:t>
      </w:r>
    </w:p>
    <w:p>
      <w:r>
        <w:rPr>
          <w:b w:val="0"/>
        </w:rPr>
        <w:t>Exxon Mobil Corporation (NYSE: XOM, CIK: 0000034088) is a leading integrated energy company operating in the energy sector. This credit memorandum assesses the financial condition and creditworthiness of Exxon Mobil in connection with a potential revolving credit facility renewal. Based on our review of the company's financial data from SEC EDGAR XBRL filings covering Q3 2022 through Q1 2026, we present our findings and credit recommendation to the Credit Committee.</w:t>
      </w:r>
    </w:p>
    <w:p>
      <w:r>
        <w:rPr>
          <w:b w:val="0"/>
        </w:rPr>
        <w:t>Exxon Mobil demonstrates significant financial scale with total assets of $464.4 billion as of Q1 2026, supported by robust stockholders' equity of $254.4 billion. The company generated FY2025 revenue of $332.2 billion and net income of $28.8 billion, reflecting strong profitability despite volatility in energy commodity markets. Primary credit strengths include a substantial asset base, consistent profitability, and a manageable leverage profile.</w:t>
      </w:r>
    </w:p>
    <w:p>
      <w:r>
        <w:rPr>
          <w:b w:val="0"/>
        </w:rPr>
        <w:t>Key risk factors include the cyclical nature of the energy sector, commodity price volatility, and the declining trajectory observed in Q1 2026 performance relative to FY2025 averages. Additionally, the reduction in cash balances from $14.4 billion in Q2 2025 to $8.4 billion in Q1 2026 warrants monitoring as it may indicate capital deployment or working capital pressures.</w:t>
      </w:r>
    </w:p>
    <w:p>
      <w:pPr>
        <w:pStyle w:val="Heading1"/>
      </w:pPr>
      <w:r>
        <w:t>Financial Performance Analysis</w:t>
      </w:r>
    </w:p>
    <w:p>
      <w:r>
        <w:rPr>
          <w:b w:val="0"/>
        </w:rPr>
        <w:t>Exxon Mobil's revenue performance demonstrates the scale and volatility characteristic of the integrated energy sector. FY2025 annual revenue totaled $332.2 billion, representing the company's most recent full-year performance. Quarterly data shows Q1 2026 revenue of $85.1 billion, which annualizes to approximately $340.6 billion, suggesting modest growth potential relative to the prior fiscal year.</w:t>
      </w:r>
    </w:p>
    <w:p>
      <w:r>
        <w:rPr>
          <w:b w:val="0"/>
        </w:rPr>
        <w:t>Historical revenue data from the provided dataset includes Q3 2022 trailing nine-month revenue of $305.5 billion and Q2 2023 trailing six-month revenue of $164.4 billion, with corresponding quarterly figures of $106.5 billion (Q3 2022) and $80.8 billion (Q2 2023). The Q1 2023 standalone quarter generated revenue of $83.6 billion, indicating relative stability in quarterly revenue generation across periods.</w:t>
      </w:r>
    </w:p>
    <w:p>
      <w:r>
        <w:rPr>
          <w:b w:val="0"/>
        </w:rPr>
        <w:t>Profitability analysis reveals a FY2025 net income margin of approximately 8.7% ($28.8 billion net income divided by $332.2 billion revenue). For Q1 2026, the net income margin was approximately 4.9% ($4.2 billion net income on $85.1 billion revenue), representing a notable compression from the full-year FY2025 margin. This margin contraction warrants close monitoring in subsequent quarters.</w:t>
      </w:r>
    </w:p>
    <w:p>
      <w:r>
        <w:rPr>
          <w:b w:val="0"/>
        </w:rPr>
        <w:t>Diluted earnings per share follow a similar pattern of concern. FY2025 diluted EPS was $6.70, while Q1 2026 reported only $1.00 per share. On an annualized basis, Q1 2026 EPS would approximate $4.00, representing a potential decline of approximately 40% from FY2025 levels. This significant deterioration in per-share earnings reflects both margin compression and potentially higher share count or one-time factors not detailed in the available data.</w:t>
      </w:r>
    </w:p>
    <w:p>
      <w:pPr>
        <w:pStyle w:val="Heading1"/>
      </w:pPr>
      <w:r>
        <w:t>Balance Sheet and Leverage Assessment</w:t>
      </w:r>
    </w:p>
    <w:p>
      <w:r>
        <w:rPr>
          <w:b w:val="0"/>
        </w:rPr>
        <w:t>Exxon Mobil maintains a substantial asset base that provides significant collateral coverage for creditors. Total assets stood at $464.4 billion as of Q1 2026, an increase of $15.4 billion from the FY2025 year-end balance of $449.0 billion. This 3.4% increase in assets over one quarter suggests ongoing capital investment and asset accumulation.</w:t>
      </w:r>
    </w:p>
    <w:p>
      <w:r>
        <w:rPr>
          <w:b w:val="0"/>
        </w:rPr>
        <w:t>Total liabilities increased more significantly, rising from $182.4 billion at FY2025 to $203.4 billion at Q1 2026, representing an increase of $21.1 billion or 11.6%. This outpaced asset growth, indicating increased leverage. The quarterly liability trend shows progression from $177.6 billion (Q2 2025) to $186.1 billion (Q3 2025) to the current $203.4 billion, reflecting a consistent upward trajectory in total obligations.</w:t>
      </w:r>
    </w:p>
    <w:p>
      <w:r>
        <w:rPr>
          <w:b w:val="0"/>
        </w:rPr>
        <w:t>Stockholders' equity declined modestly from $259.4 billion at FY2025 to $254.4 billion at Q1 2026, a decrease of $5.0 billion or 1.9%. This equity erosion, combined with liability growth, has weakened the balance sheet composition relative to the prior year end.</w:t>
      </w:r>
    </w:p>
    <w:p>
      <w:r>
        <w:rPr>
          <w:b w:val="0"/>
        </w:rPr>
        <w:t>The debt-to-equity ratio, calculated as total liabilities divided by stockholders' equity, was approximately 0.80x at Q1 2026 ($203.4 billion / $254.4 billion), compared to approximately 0.70x at FY2025 ($182.4 billion / $259.4 billion). This 10 basis point increase in leverage represents a meaningful deterioration in the capital structure over a single quarter. While the absolute leverage level remains moderate for the energy sector, the directional trend is unfavorable and requires ongoing surveillance.</w:t>
      </w:r>
    </w:p>
    <w:p>
      <w:pPr>
        <w:pStyle w:val="Heading1"/>
      </w:pPr>
      <w:r>
        <w:t>Liquidity Analysis</w:t>
      </w:r>
    </w:p>
    <w:p>
      <w:r>
        <w:rPr>
          <w:b w:val="0"/>
        </w:rPr>
        <w:t>Exxon Mobil's cash and cash equivalents position has shown a declining trend over the available data period. Cash balances stood at $14.4 billion in Q2 2025, declined to $13.8 billion in Q3 2025, further to $10.7 billion at FY2025 year-end, and reached $8.4 billion as of Q1 2026. This represents a cumulative decline of $5.9 billion or 41% over three quarters.</w:t>
      </w:r>
    </w:p>
    <w:p>
      <w:r>
        <w:rPr>
          <w:b w:val="0"/>
        </w:rPr>
        <w:t>The most significant single-quarter decline occurred between Q3 2025 and FY2025 year-end, where cash decreased by $3.1 billion. The continued decline into Q1 2026, with a further $2.2 billion reduction, indicates sustained cash consumption. As a percentage of total assets, cash decreased from 3.2% (Q2 2025: $14.4B / $447.6B) to 1.8% (Q1 2026: $8.4B / $464.4B).</w:t>
      </w:r>
    </w:p>
    <w:p>
      <w:r>
        <w:rPr>
          <w:b w:val="0"/>
        </w:rPr>
        <w:t>While the absolute cash balance of $8.4 billion remains substantial in absolute terms, the declining trend is a credit concern. For a company of Exxon Mobil's size and capital intensity, maintaining adequate liquidity buffers is essential for funding capital expenditures, servicing debt obligations, and managing working capital fluctuations inherent in commodity-based businesses. The credit committee should consider requiring minimum cash balance covenants or enhanced liquidity reporting as conditions of any credit facility renewal.</w:t>
      </w:r>
    </w:p>
    <w:p>
      <w:pPr>
        <w:pStyle w:val="Heading1"/>
      </w:pPr>
      <w:r>
        <w:t>Operating Expense Review</w:t>
      </w:r>
    </w:p>
    <w:p>
      <w:r>
        <w:rPr>
          <w:b w:val="0"/>
        </w:rPr>
        <w:t>Selling, general and administrative expenses totaled $11.1 billion for FY2025, with quarterly levels of $5.1 billion (Q2 2025), $3.0 billion (Q3 2025), and $2.7 billion (Q1 2026). The Q1 2026 SG&amp;A run rate of $2.7 billion annualizes to approximately $10.7 billion, suggesting modest efficiency improvement relative to FY2025. As a percentage of revenue, FY2025 SG&amp;A represented 3.3% ($11.1B / $332.2B), while Q1 2026 SG&amp;A was 3.2% ($2.7B / $85.1B), indicating stable cost management.</w:t>
      </w:r>
    </w:p>
    <w:p>
      <w:r>
        <w:rPr>
          <w:b w:val="0"/>
        </w:rPr>
        <w:t>Research and development expenditures have shown a steady upward trajectory, increasing from $879 million in FY2023 to $987 million in FY2024 to $1.2 billion in FY2025, based on the primary reported figures in the dataset. This represents a cumulative increase of approximately 36% over the two-year period. The acceleration in R&amp;D spending from FY2024 to FY2025 (approximately 22% growth) suggests increased investment in technology development, potentially related to lower-carbon energy solutions and operational efficiency improvements.</w:t>
      </w:r>
    </w:p>
    <w:p>
      <w:r>
        <w:rPr>
          <w:b w:val="0"/>
        </w:rPr>
        <w:t>The rising R&amp;D investment, while modest as a percentage of total revenue (approximately 0.4% of FY2025 revenue), demonstrates Exxon Mobil's commitment to innovation and long-term competitiveness. However, the absolute dollar increase of $321 million from FY2023 to FY2025 adds to operating expense pressure during a period of declining profitability, as evidenced by the Q1 2026 margin compression discussed earlier.</w:t>
      </w:r>
    </w:p>
    <w:p>
      <w:pPr>
        <w:pStyle w:val="Heading1"/>
      </w:pPr>
      <w:r>
        <w:t>Credit Opinion and Recommendation</w:t>
      </w:r>
    </w:p>
    <w:p>
      <w:r>
        <w:rPr>
          <w:b w:val="0"/>
        </w:rPr>
        <w:t>Based on our comprehensive analysis of Exxon Mobil Corporation's financial data, we assign an overall credit assessment of Investment Grade with a Stable outlook. Our recommendation is supported by several key financial strengths: the company maintains a substantial asset base of $464.4 billion (Q1 2026), stockholders' equity of $254.4 billion, and FY2025 revenue of $332.2 billion with net income of $28.8 billion. The debt-to-equity ratio of 0.80x, while elevated from the prior year, remains within acceptable parameters for an integrated energy major.</w:t>
      </w:r>
    </w:p>
    <w:p>
      <w:r>
        <w:rPr>
          <w:b w:val="0"/>
        </w:rPr>
        <w:t>However, several risk factors temper our assessment. The Q1 2026 diluted EPS of $1.00 versus FY2025's $6.70 signals significant near-term earnings pressure. The net income margin compression from 8.7% (FY2025) to 4.9% (Q1 2026) and the declining cash position from $14.4 billion to $8.4 billion over three quarters require close monitoring. The increase in total liabilities from $182.4 billion to $203.4 billion, a $21.1 billion increase in one quarter, represents material balance sheet expansion.</w:t>
      </w:r>
    </w:p>
    <w:p>
      <w:r>
        <w:rPr>
          <w:b w:val="0"/>
        </w:rPr>
        <w:t>We recommend approval of the revolving credit facility renewal with the following conditions: (1) minimum liquidity covenant requiring maintenance of cash and equivalents of at least $5 billion; (2) quarterly financial reporting requirements including detailed cash flow statements; (3) leverage covenant limiting debt-to-equity ratio to no more than 1.0x; and (4) annual review clause to reassess credit terms based on full-year FY2026 performance.</w:t>
      </w:r>
    </w:p>
    <w:p>
      <w:r>
        <w:rPr>
          <w:b w:val="0"/>
        </w:rPr>
        <w:t>The overall credit profile reflects a financially strong borrower with manageable leverage and significant asset coverage, offset by near-term profitability pressures and liquidity trends that warrant enhanced monitoring. We recommend the facility be structured with appropriate covenants to protect the bank's position while maintaining a competitive offering for this investment-grade credit.</w:t>
      </w:r>
    </w:p>
    <w:p/>
    <w:p>
      <w:r>
        <w:t>Prepared by: Energy &amp; Utilities Lending Team</w:t>
      </w:r>
    </w:p>
    <w:p>
      <w:r>
        <w:t>For: Credit Committee Review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