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Credit Memo - Procter &amp; Gamble Co.</w:t>
      </w:r>
    </w:p>
    <w:p>
      <w:r>
        <w:rPr>
          <w:b/>
        </w:rPr>
        <w:t>TO:</w:t>
        <w:tab/>
      </w:r>
      <w:r>
        <w:t>Credit Committee, Commercial Lending Division</w:t>
      </w:r>
    </w:p>
    <w:p>
      <w:r>
        <w:rPr>
          <w:b/>
        </w:rPr>
        <w:t>FROM:</w:t>
        <w:tab/>
      </w:r>
      <w:r>
        <w:t>Senior Credit Analyst, Consumer Staples Group</w:t>
      </w:r>
    </w:p>
    <w:p>
      <w:r>
        <w:rPr>
          <w:b/>
        </w:rPr>
        <w:t>DATE:</w:t>
        <w:tab/>
      </w:r>
      <w:r>
        <w:t>Current Date</w:t>
      </w:r>
    </w:p>
    <w:p>
      <w:r>
        <w:rPr>
          <w:b/>
        </w:rPr>
        <w:t>RE:</w:t>
        <w:tab/>
      </w:r>
      <w:r>
        <w:t>Credit Memo - Procter &amp; Gamble Co. (NYSE: PG) - $500M Unsecured Revolving Credit Facility Renewal</w:t>
      </w:r>
    </w:p>
    <w:p>
      <w:r>
        <w:t>________________________________________________________________________________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