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Between: VendorCo, Inc. and ClientCorp, LLC</w:t>
      </w:r>
    </w:p>
    <w:p/>
    <w:p>
      <w:pPr>
        <w:pStyle w:val="Heading2"/>
      </w:pPr>
      <w:r>
        <w:t>Term</w:t>
      </w:r>
    </w:p>
    <w:p>
      <w:r>
        <w:t>Initial term of twelve (12) months, automatically renewing for successive one-year periods unless either party provides written notice of non-renewal at least sixty (60) days prior to the end of the then-current term.</w:t>
      </w:r>
    </w:p>
    <w:p>
      <w:pPr>
        <w:pStyle w:val="Heading2"/>
      </w:pPr>
      <w:r>
        <w:t>Service Levels</w:t>
      </w:r>
    </w:p>
    <w:p>
      <w:r>
        <w:t>VendorCo shall maintain 99.9% uptime measured monthly. Downtime exceeding four (4) hours in any calendar month shall entitle ClientCorp to a service credit equal to 5% of the monthly fee.</w:t>
      </w:r>
    </w:p>
    <w:p>
      <w:pPr>
        <w:pStyle w:val="Heading2"/>
      </w:pPr>
      <w:r>
        <w:t>Liability</w:t>
      </w:r>
    </w:p>
    <w:p>
      <w:r>
        <w:t>Each party's aggregate liability under this Agreement shall not exceed the total amount paid by ClientCorp to VendorCo in the twelve (12) months preceding the event giving rise to liability.</w:t>
      </w:r>
    </w:p>
    <w:p>
      <w:pPr>
        <w:pStyle w:val="Heading2"/>
      </w:pPr>
      <w:r>
        <w:t>Data Security</w:t>
      </w:r>
    </w:p>
    <w:p>
      <w:r>
        <w:t>VendorCo shall implement commercially reasonable administrative, physical, and technical safeguards to protect ClientCorp Data.</w:t>
      </w:r>
    </w:p>
    <w:p>
      <w:pPr>
        <w:pStyle w:val="Heading2"/>
      </w:pPr>
      <w:r>
        <w:t>Indemnification</w:t>
      </w:r>
    </w:p>
    <w:p>
      <w:r>
        <w:t>VendorCo shall indemnify, defend, and hold harmless ClientCorp from any third-party claim arising from VendorCo's breach of its data security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