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People v. Hemingway Analysis</w:t>
      </w:r>
    </w:p>
    <w:p>
      <w:r>
        <w:rPr>
          <w:b/>
        </w:rPr>
        <w:t>TO:</w:t>
        <w:tab/>
      </w:r>
      <w:r>
        <w:t>Supervising Partner</w:t>
      </w:r>
    </w:p>
    <w:p>
      <w:r>
        <w:rPr>
          <w:b/>
        </w:rPr>
        <w:t>FROM:</w:t>
        <w:tab/>
      </w:r>
      <w:r>
        <w:t>Associate</w:t>
      </w:r>
    </w:p>
    <w:p>
      <w:r>
        <w:rPr>
          <w:b/>
        </w:rPr>
        <w:t>DATE:</w:t>
        <w:tab/>
      </w:r>
      <w:r>
        <w:t>May 2025</w:t>
      </w:r>
    </w:p>
    <w:p>
      <w:r>
        <w:rPr>
          <w:b/>
        </w:rPr>
        <w:t>RE:</w:t>
        <w:tab/>
      </w:r>
      <w:r>
        <w:t>People v. Hemingway (2025 NY Slip Op 02965)</w:t>
      </w:r>
    </w:p>
    <w:p>
      <w:r>
        <w:t>________________________________________________________________________________</w:t>
      </w:r>
    </w:p>
    <w:p>
      <w:pPr>
        <w:pStyle w:val="Heading1"/>
      </w:pPr>
      <w:r>
        <w:t>Legal Memorandum</w:t>
      </w:r>
    </w:p>
    <w:p>
      <w:pPr>
        <w:pStyle w:val="Heading2"/>
      </w:pPr>
      <w:r>
        <w:t>Re: Analysis of People v. Hemingway (2025 NY Slip Op 02965)</w:t>
      </w:r>
    </w:p>
    <w:p>
      <w:pPr>
        <w:pStyle w:val="Heading2"/>
      </w:pPr>
      <w:r>
        <w:t>I. Case Summary</w:t>
      </w:r>
    </w:p>
    <w:p>
      <w:r>
        <w:rPr>
          <w:b w:val="0"/>
        </w:rPr>
        <w:t>This memorandum analyzes the recent New York Court of Appeals decision in People v. Hemingway, 2025 NY Slip Op 02965 (May 15, 2025). The defendant, Carissa Hemingway, was indicted for crimes arising from an incident in which she drove while under the influence of drugs with a baby as a passenger. Hemingway admitted to using marijuana, and a subsequent blood test confirmed the presence of the active ingredient in marijuana and Oxycodone.</w:t>
      </w:r>
    </w:p>
    <w:p>
      <w:r>
        <w:rPr>
          <w:b w:val="0"/>
        </w:rPr>
        <w:t>The central issue on appeal concerned a typographical error in Count 1 of the indictment. Count 1 charged Aggravated driving while intoxicated with a child, in violation of Vehicle and Traffic Law § 1192(2-a)(b). However, the indictment specifically alleged that Hemingway violated 'subdivision (2) of section 1192,' which pertains to alcohol intoxication. The evidence presented to the grand jury, and the basis for its vote to indict, was drug impairment, which falls under subdivision (4). Count 2 of the indictment correctly charged the violation of subdivision (4). The question presented was whether County Court erred in permitting the People to amend the indictment to correct the typographical error, changing the reference from subdivision (2) to subdivision (4).</w:t>
      </w:r>
    </w:p>
    <w:p>
      <w:pPr>
        <w:pStyle w:val="Heading2"/>
      </w:pPr>
      <w:r>
        <w:t>II. Holding and Legal Standard</w:t>
      </w:r>
    </w:p>
    <w:p>
      <w:r>
        <w:rPr>
          <w:b w:val="0"/>
        </w:rPr>
        <w:t>The New York Court of Appeals held that the order of the Appellate Division should be affirmed, concluding that the County Court did not err in permitting the People to amend the indictment. The Court's holding was concise and based on the specific circumstances of the case.</w:t>
      </w:r>
    </w:p>
    <w:p>
      <w:r>
        <w:rPr>
          <w:b w:val="0"/>
        </w:rPr>
        <w:t>The legal standard applied by the Court centered on the permissibility of correcting a 'typographical error' in an indictment. The Court treated the incorrect subdivision reference as a scrivener's error or clerical mistake that did not alter the substance of the charge presented to and voted upon by the grand jury. The amendment did not change the nature of the offense (Aggravated DWI with a child) but merely corrected an internal citation to the correct subdivision of the statute.</w:t>
      </w:r>
    </w:p>
    <w:p>
      <w:pPr>
        <w:pStyle w:val="Heading2"/>
      </w:pPr>
      <w:r>
        <w:t>III. Analysis of the Court's Reasoning</w:t>
      </w:r>
    </w:p>
    <w:p>
      <w:r>
        <w:rPr>
          <w:b w:val="0"/>
        </w:rPr>
        <w:t>The Court's reasoning hinged on the specific nature of the error and the grand jury proceedings. The Court emphasized that the evidence before the grand jury demonstrated that Hemingway was impaired by drugs, not alcohol. The grand jury voted to indict her based on that evidence of drug impairment. Thus, the grand jury's decision was based on the correct underlying conduct.</w:t>
      </w:r>
    </w:p>
    <w:p>
      <w:r>
        <w:rPr>
          <w:b w:val="0"/>
        </w:rPr>
        <w:t>The error in Count 1 was isolated to a typographical citation: it referenced subdivision (2) (alcohol intoxication) instead of the correct subdivision (4) (drug impairment). This was an internal error within the count charging the aggravated offense under Vehicle and Traffic Law § 1192(2-a)(b). The Court found this to be a typographical error that could be corrected by amendment without prejudicing the defendant's substantial rights or altering the scope of the indictment as presented to the grand jury.</w:t>
      </w:r>
    </w:p>
    <w:p>
      <w:r>
        <w:rPr>
          <w:b w:val="0"/>
        </w:rPr>
        <w:t>Furthermore, the fact that Count 2 of the indictment correctly charged the violation of subdivision (4) supported the conclusion that the error in Count 1 was indeed a scrivener's mistake. The indictment as a whole put the defendant on notice of the drug-related charges. The amendment merely aligned the specific citation in Count 1 with the actual evidence and the correct statutory provision, thereby clarifying the charge without expanding it.</w:t>
      </w:r>
    </w:p>
    <w:p>
      <w:pPr>
        <w:pStyle w:val="Heading2"/>
      </w:pPr>
      <w:r>
        <w:t>IV. Application to Client's Case</w:t>
      </w:r>
    </w:p>
    <w:p>
      <w:r>
        <w:rPr>
          <w:b w:val="0"/>
        </w:rPr>
        <w:t>Based solely on the Court's reasoning in People v. Hemingway, a court evaluating a similar indictment amendment in our client's case would likely consider the following factors:</w:t>
        <w:br/>
        <w:br/>
        <w:t xml:space="preserve">1.  </w:t>
      </w:r>
      <w:r>
        <w:rPr>
          <w:b/>
        </w:rPr>
        <w:t>Nature of the Error</w:t>
      </w:r>
      <w:r>
        <w:rPr>
          <w:b w:val="0"/>
        </w:rPr>
        <w:t>: Is the error a mere typographical or clerical mistake in a citation, or does it reflect a substantive deficiency in the charge presented to the grand jury? In Hemingway, the error was confined to an incorrect subdivision number.</w:t>
        <w:br/>
        <w:t xml:space="preserve">2.  </w:t>
      </w:r>
      <w:r>
        <w:rPr>
          <w:b/>
        </w:rPr>
        <w:t>Grand Jury Basis</w:t>
      </w:r>
      <w:r>
        <w:rPr>
          <w:b w:val="0"/>
        </w:rPr>
        <w:t>: Was the grand jury presented with evidence of the correct criminal conduct, and did it vote to indict based on that evidence? The Court noted the grand jury in Hemingway indicted based on evidence of drug impairment, even though the citation was wrong.</w:t>
        <w:br/>
        <w:t xml:space="preserve">3.  </w:t>
      </w:r>
      <w:r>
        <w:rPr>
          <w:b/>
        </w:rPr>
        <w:t>Impact on Charge</w:t>
      </w:r>
      <w:r>
        <w:rPr>
          <w:b w:val="0"/>
        </w:rPr>
        <w:t>: Does the amendment alter the fundamental nature of the offense charged? The amendment in Hemingway did not change the offense from Aggravated DWI with a child; it only corrected the statutory subdivision reference.</w:t>
        <w:br/>
        <w:t xml:space="preserve">4.  </w:t>
      </w:r>
      <w:r>
        <w:rPr>
          <w:b/>
        </w:rPr>
        <w:t>Indictment as a Whole</w:t>
      </w:r>
      <w:r>
        <w:rPr>
          <w:b w:val="0"/>
        </w:rPr>
        <w:t>: Does the indictment, taken as a whole, provide the defendant with adequate notice? In Hemingway, the correct subdivision was charged in Count 2, aiding notice.</w:t>
        <w:br/>
        <w:br/>
        <w:t>The critical inquiry, per Hemingway, appears to be whether the amendment corrects a non-prejudicial, typographical error without changing the substance of the charge as presented to the grand jury. A direct challenge would likely focus on whether the error was more than a mere citation mistake and actually affected the grand jury's deliberations or the defendant's notice of the charges.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