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 - Preemption Analysis - TitleMax v. Dallas</w:t>
      </w:r>
    </w:p>
    <w:p>
      <w:r>
        <w:rPr>
          <w:b/>
        </w:rPr>
        <w:t>TO:</w:t>
        <w:tab/>
      </w:r>
      <w:r>
        <w:t>Senior Partner</w:t>
      </w:r>
    </w:p>
    <w:p>
      <w:r>
        <w:rPr>
          <w:b/>
        </w:rPr>
        <w:t>FROM:</w:t>
        <w:tab/>
      </w:r>
      <w:r>
        <w:t>Associate</w:t>
      </w:r>
    </w:p>
    <w:p>
      <w:r>
        <w:rPr>
          <w:b/>
        </w:rPr>
        <w:t>DATE:</w:t>
        <w:tab/>
      </w:r>
      <w:r>
        <w:t>July 2, 2025</w:t>
      </w:r>
    </w:p>
    <w:p>
      <w:r>
        <w:rPr>
          <w:b/>
        </w:rPr>
        <w:t>RE:</w:t>
        <w:tab/>
      </w:r>
      <w:r>
        <w:t>Legal Analysis: Viability of Preemption Challenge to City of Dallas Amending Ordinance (TitleMax of Texas, Inc. v. City of Dallas, 142 F.4th 322 (5th Cir. 2025))</w:t>
      </w:r>
    </w:p>
    <w:p>
      <w:r>
        <w:t>________________________________________________________________________________</w:t>
      </w:r>
    </w:p>
    <w:p>
      <w:pPr>
        <w:pStyle w:val="Heading2"/>
      </w:pPr>
      <w:r>
        <w:t>Question Presented</w:t>
      </w:r>
    </w:p>
    <w:p>
      <w:r>
        <w:rPr>
          <w:b w:val="0"/>
        </w:rPr>
        <w:t>Whether a coalition of small Credit Access Businesses (CABs) and Credit Services Organizations (CSOs) has a viable cause of action to challenge the City of Dallas's 2021 Amending Ordinance on the grounds that it is preempted by Texas Finance Code Chapter 393, or that it violates the due course of law guarantee under the Texas Constitution, as argued by TitleMax in TitleMax of Texas, Inc. v. City of Dallas, 142 F.4th 322 (5th Cir. 2025).</w:t>
      </w:r>
    </w:p>
    <w:p>
      <w:pPr>
        <w:pStyle w:val="Heading2"/>
      </w:pPr>
      <w:r>
        <w:t>Short Answer</w:t>
      </w:r>
    </w:p>
    <w:p>
      <w:r>
        <w:rPr>
          <w:b w:val="0"/>
        </w:rPr>
        <w:t>Based on the Fifth Circuit's opinion, a similar challenge would face significant legal hurdles. The Court affirmed the district court's denial of TitleMax's motion for a preliminary injunction. On the preemption claim, the Court found that the Amending Ordinance was a permissible exercise of the City's municipal police power and did not conflict with or stand as an obstacle to the full purposes and objectives of Texas Finance Code Chapter 393. The Court also rejected the due course of law claim. Therefore, pursuing a parallel challenge would likely be unsuccessful unless the coalition can demonstrate that the Amending Ordinance uniquely burdens its members in a way not contemplated by the Court's analysis.</w:t>
      </w:r>
    </w:p>
    <w:p>
      <w:pPr>
        <w:pStyle w:val="Heading2"/>
      </w:pPr>
      <w:r>
        <w:t>Statement of Facts</w:t>
      </w:r>
    </w:p>
    <w:p>
      <w:r>
        <w:rPr>
          <w:b w:val="0"/>
        </w:rPr>
        <w:t>TitleMax of Texas, Inc. (TitleMax), Ivy Funding Company, L.L.C., and NCP Finance Limited Partnership are plaintiffs-appellants that operate in the short-term lending industry. TitleMax arranges and services two types of loans: title-secured loans, for which it is licensed as a Credit Access Business (CAB) under Texas Finance Code § 393.603, and unsecured loans, for which it is registered as a Credit Services Organization (CSO) under Texas Finance Code § 393.101. The City of Dallas is the defendant-appellee.</w:t>
      </w:r>
    </w:p>
    <w:p>
      <w:r>
        <w:rPr>
          <w:b w:val="0"/>
        </w:rPr>
        <w:t>The case is an appeal from the United States District Court for the Northern District of Texas, case number 3:21-CV-1040. TitleMax sued the City seeking declaratory and injunctive relief, arguing that the City's 2021 Amending Ordinance, which expanded regulation of the short-term lending industry, was preempted by state law and violated TitleMax's due course of law guarantee under the Texas Constitution. The district court denied TitleMax's motion for a preliminary injunction, and TitleMax appealed.</w:t>
      </w:r>
    </w:p>
    <w:p>
      <w:r>
        <w:rPr>
          <w:b w:val="0"/>
        </w:rPr>
        <w:t>Prior to January 2021, TitleMax's Dallas stores were regulated under a 2011 City of Dallas ordinance. The 2021 Amending Ordinance further expanded the City's regulatory authority over the short-term lending industry. TitleMax contended this amendment devastated its business in Dallas.</w:t>
      </w:r>
    </w:p>
    <w:p>
      <w:pPr>
        <w:pStyle w:val="Heading2"/>
      </w:pPr>
      <w:r>
        <w:t>Discussion</w:t>
      </w:r>
    </w:p>
    <w:p>
      <w:r>
        <w:rPr>
          <w:b w:val="0"/>
        </w:rPr>
        <w:t>TitleMax asserted two state-law causes of action: (1) that the Amending Ordinance was preempted by Texas Finance Code Chapter 393, and (2) that it violated TitleMax's due course of law guarantee under the Texas Constitution. The Fifth Circuit, sitting in diversity, applied Texas law to evaluate the preemption claim.</w:t>
      </w:r>
    </w:p>
    <w:p>
      <w:r>
        <w:rPr>
          <w:b w:val="0"/>
        </w:rPr>
        <w:t>Under Texas law, the analysis for preemption requires determining whether a municipal ordinance conflicts with state law. A local ordinance is preempted if it conflicts with state law or if it stands as an obstacle to the full purposes and objectives of the legislature. The Court examined whether Chapter 393 occupied the field of short-term lending regulation or whether the Amending Ordinance conflicted with specific provisions of the state code.</w:t>
      </w:r>
    </w:p>
    <w:p>
      <w:r>
        <w:rPr>
          <w:b w:val="0"/>
        </w:rPr>
        <w:t>TitleMax argued that the Amending Ordinance was preempted because Chapter 393 occupied the field of CAB and CSO regulation, leaving no room for additional municipal regulation. Alternatively, TitleMax argued conflict preemption, asserting that the Amending Ordinance stood as an obstacle to the full purposes and objectives of Chapter 393. The Fifth Circuit rejected both arguments.</w:t>
      </w:r>
    </w:p>
    <w:p>
      <w:r>
        <w:rPr>
          <w:b w:val="0"/>
        </w:rPr>
        <w:t>The Court found that Chapter 393 did not occupy the entire field of short-term lending regulation, and that the City's Amending Ordinance was a permissible exercise of its municipal police power. The Court noted that the state regulatory scheme did not evidence a clear intent to exclude all local regulation. The Court also found no actual conflict between the Amending Ordinance and Chapter 393, as the ordinance imposed additional requirements that were consistent with the state's regulatory goals.</w:t>
      </w:r>
    </w:p>
    <w:p>
      <w:r>
        <w:rPr>
          <w:b w:val="0"/>
        </w:rPr>
        <w:t>For a coalition challenge, the key hurdle is demonstrating that the Amending Ordinance uniquely burdens its members. The Fifth Circuit's analysis focused on whether the ordinance conflicted with state law, not on its economic impact. The Court distinguished between the types of lending activities (title-secured vs. unsecured) but found that both were subject to the City's regulatory authority. Unless the coalition can show a direct conflict with Chapter 393 or that the ordinance stands as an obstacle to the state's objectives, a preemption claim is unlikely to succeed.</w:t>
      </w:r>
    </w:p>
    <w:p>
      <w:r>
        <w:rPr>
          <w:b w:val="0"/>
        </w:rPr>
        <w:t>The due course of law claim under the Texas Constitution also failed. TitleMax argued that the Amending Ordinance violated substantive due process rights. The Court applied a rational basis review and found that the ordinance was rationally related to a legitimate government interest in protecting consumers from predatory lending practices. A similar claim by the coalition would need to overcome the same deferential standard.</w:t>
      </w:r>
    </w:p>
    <w:p>
      <w:r>
        <w:rPr>
          <w:b w:val="0"/>
        </w:rPr>
        <w:t>Recommendation: The coalition should not pursue a preemption challenge unless it can identify a specific provision of the Amending Ordinance that directly conflicts with a provision of Chapter 393. The Fifth Circuit's opinion suggests that general complaints about increased regulatory burden are insufficient. The coalition's best avenue for relief may be through legislative advocacy rather than litigation.</w:t>
      </w:r>
    </w:p>
    <w:p>
      <w:pPr>
        <w:pStyle w:val="Heading2"/>
      </w:pPr>
      <w:r>
        <w:t>Conclusion</w:t>
      </w:r>
    </w:p>
    <w:p>
      <w:r>
        <w:rPr>
          <w:b w:val="0"/>
        </w:rPr>
        <w:t>Based on the Fifth Circuit's analysis in TitleMax of Texas, Inc. v. City of Dallas, 142 F.4th 322 (5th Cir. 2025), a preemption challenge to the City's 2021 Amending Ordinance is unlikely to succeed. The Court found that the ordinance was a permissible exercise of municipal police power that did not conflict with Texas Finance Code Chapter 393. The due course of law claim also failed under rational basis review. The coalition's members should focus on legislative advocacy rather than litigation to address concerns about the regulatory burden imposed by the Amending Ordinance.</w:t>
      </w:r>
    </w:p>
    <w:p/>
    <w:p>
      <w:r>
        <w:t>Respectfully submitted,</w:t>
      </w:r>
    </w:p>
    <w:p/>
    <w:p>
      <w:r>
        <w:t>[Associate's Name]</w:t>
      </w:r>
    </w:p>
    <w:p>
      <w:r>
        <w:t>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