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Kimble Legal Memo</w:t>
      </w:r>
    </w:p>
    <w:p>
      <w:r>
        <w:rPr>
          <w:b/>
        </w:rPr>
        <w:t>TO:</w:t>
        <w:tab/>
      </w:r>
      <w:r>
        <w:t>Partner, Criminal Appeals Practice Group</w:t>
      </w:r>
    </w:p>
    <w:p>
      <w:r>
        <w:rPr>
          <w:b/>
        </w:rPr>
        <w:t>FROM:</w:t>
        <w:tab/>
      </w:r>
      <w:r>
        <w:t>Senior Associate</w:t>
      </w:r>
    </w:p>
    <w:p>
      <w:r>
        <w:rPr>
          <w:b/>
        </w:rPr>
        <w:t>DATE:</w:t>
        <w:tab/>
      </w:r>
      <w:r>
        <w:t>July 2025</w:t>
      </w:r>
    </w:p>
    <w:p>
      <w:r>
        <w:rPr>
          <w:b/>
        </w:rPr>
        <w:t>RE:</w:t>
        <w:tab/>
      </w:r>
      <w:r>
        <w:t>Second Amendment Analysis — United States v. Kimble, 142 F.4th 308 (5th Cir. 2025)</w:t>
      </w:r>
    </w:p>
    <w:p>
      <w:r>
        <w:t>________________________________________________________________________________</w:t>
      </w:r>
    </w:p>
    <w:p>
      <w:pPr>
        <w:pStyle w:val="Heading1"/>
      </w:pPr>
      <w:r>
        <w:t>MEMORANDUM</w:t>
      </w:r>
    </w:p>
    <w:p>
      <w:r>
        <w:rPr>
          <w:b w:val="0"/>
        </w:rPr>
        <w:t>MEMORANDUM</w:t>
      </w:r>
    </w:p>
    <w:p>
      <w:r>
        <w:rPr>
          <w:b w:val="0"/>
        </w:rPr>
        <w:t>To: Partner, Criminal Appeals Practice Group</w:t>
      </w:r>
    </w:p>
    <w:p>
      <w:r>
        <w:rPr>
          <w:b w:val="0"/>
        </w:rPr>
        <w:t>From: Senior Associate</w:t>
      </w:r>
    </w:p>
    <w:p>
      <w:r>
        <w:rPr>
          <w:b w:val="0"/>
        </w:rPr>
        <w:t>Date: July 2025</w:t>
      </w:r>
    </w:p>
    <w:p>
      <w:r>
        <w:rPr>
          <w:b w:val="0"/>
        </w:rPr>
        <w:t>Re: Second Amendment Analysis — United States v. Kimble, 142 F.4th 308 (5th Cir. 2025)</w:t>
      </w:r>
    </w:p>
    <w:p>
      <w:pPr>
        <w:pStyle w:val="Heading2"/>
      </w:pPr>
      <w:r>
        <w:t>Question Presented</w:t>
      </w:r>
    </w:p>
    <w:p>
      <w:r>
        <w:rPr>
          <w:b w:val="0"/>
        </w:rPr>
        <w:t>Whether the Fifth Circuit's holding in United States v. Kimble that § 922(g)(1)'s prohibition on felon firearm possession accords with the nation's history and tradition of firearm regulation, and therefore does not violate the Second Amendment as applied to a defendant with two drug-trafficking felony convictions, is consistent with the constitutional framework governing Second Amendment challenges.</w:t>
      </w:r>
    </w:p>
    <w:p>
      <w:pPr>
        <w:pStyle w:val="Heading2"/>
      </w:pPr>
      <w:r>
        <w:t>Short Answer</w:t>
      </w:r>
    </w:p>
    <w:p>
      <w:r>
        <w:rPr>
          <w:b w:val="0"/>
        </w:rPr>
        <w:t>Yes. The Fifth Circuit correctly affirmed Kimble's conviction under § 922(g)(1). The court held that disarming drug traffickers accords with the nation's history and tradition of firearm regulation. Under the historical tradition framework, the government need only identify historical analogues supporting the modern regulation. The historical tradition of disarming individuals deemed dangerous to society provides sufficient support for applying § 922(g)(1) to those convicted of drug-trafficking offenses, which by their nature involve dangerous criminal conduct.</w:t>
      </w:r>
    </w:p>
    <w:p>
      <w:pPr>
        <w:pStyle w:val="Heading2"/>
      </w:pPr>
      <w:r>
        <w:t>Statement of Facts</w:t>
      </w:r>
    </w:p>
    <w:p>
      <w:r>
        <w:rPr>
          <w:b w:val="0"/>
        </w:rPr>
        <w:t>Sidney Donnell Kimble has a history of two drug-trafficking felony convictions. First, he pleaded nolo contendere to manufacturing or delivering a controlled substance after officers found him carrying crack cocaine, marihuana, yellow pills of an unidentified substance, and over $1,000 in cash. He was sentenced to six years' confinement for that state-level felony but served just one year. His parole term expired on January 5, 2018.</w:t>
      </w:r>
    </w:p>
    <w:p>
      <w:r>
        <w:rPr>
          <w:b w:val="0"/>
        </w:rPr>
        <w:t>In 2015, Kimble sold a confidential informant approximately 139 grams of crack cocaine. He pleaded guilty to a federal felony: possession with intent to distribute a detectable quantity of cocaine. He was sentenced to 18 months in prison followed by four years of supervised release. He was released early in July 2016, at which point his four years of supervised release commenced. After violating his terms of release by cheating on a drug test, he was re-imprisoned.</w:t>
      </w:r>
    </w:p>
    <w:p>
      <w:r>
        <w:rPr>
          <w:b w:val="0"/>
        </w:rPr>
        <w:t>Following his release, Kimble was found in possession of a firearm and charged and convicted under 18 U.S.C. § 922(g)(1), which bars felons from possessing firearms. He appealed, positing that prohibiting him from keeping or bearing arms for the remainder of his life violates the Second Amendment.</w:t>
      </w:r>
    </w:p>
    <w:p>
      <w:pPr>
        <w:pStyle w:val="Heading2"/>
      </w:pPr>
      <w:r>
        <w:t>Discussion</w:t>
      </w:r>
    </w:p>
    <w:p>
      <w:r>
        <w:rPr>
          <w:b w:val="0"/>
        </w:rPr>
        <w:t>The Fifth Circuit's analysis in Kimble proceeds under the principle that the Second Amendment has never been understood to confer an unlimited right. The panel comprising Circuit Judges Smith, Graves, and Duncan, with Judge Jerry E. Smith authoring the opinion, held that disarming drug traffickers accords with the nation's history and tradition of firearm regulation. The court affirmed Kimble's conviction from the United States District Court for the Western District of Texas, case number 5:21-CR-355-1.</w:t>
      </w:r>
    </w:p>
    <w:p>
      <w:r>
        <w:rPr>
          <w:b w:val="0"/>
        </w:rPr>
        <w:t>The court's reasoning rests on the historical tradition of disarming individuals deemed dangerous to society. While the opinion does not extensively catalogue historical analogues, it concludes that drug traffickers fall within the class of persons whom the government has historically been permitted to disarm. The opinion notes that Kimble's appeal posits that prohibiting him from keeping or bearing arms for the remainder of his life violates the Second Amendment, but the court rejected this argument.</w:t>
      </w:r>
    </w:p>
    <w:p>
      <w:r>
        <w:rPr>
          <w:b w:val="0"/>
        </w:rPr>
        <w:t>A critical aspect of the Kimble holding is that the court relied on the historical tradition of firearm regulation rather than requiring a direct historical twin to § 922(g)(1). The government's interest in preventing dangerous individuals from accessing firearms finds support in the historical record. Drug traffickers, whose criminal conduct involves the distribution of controlled substances, fit within this dangerousness paradigm.</w:t>
      </w:r>
    </w:p>
    <w:p>
      <w:r>
        <w:rPr>
          <w:b w:val="0"/>
        </w:rPr>
        <w:t>Future defendants may argue that non-violent felons should be treated differently from violent ones under the Second Amendment. The Kimble opinion, however, does not draw such a distinction. By affirming the application of § 922(g)(1) to Kimble based on drug-trafficking convictions, the Fifth Circuit suggests that the categorical approach to felon dispossession survives constitutional scrutiny as applied to drug traffickers.</w:t>
      </w:r>
    </w:p>
    <w:p>
      <w:r>
        <w:rPr>
          <w:b w:val="0"/>
        </w:rPr>
        <w:t>The opinion's reliance on history and tradition is consistent with the post-Bruen landscape in which courts evaluate Second Amendment challenges. In this framework, the critical question is whether the challenged regulation is consistent with the nation's historical tradition of firearm regulation. The Fifth Circuit's conclusion that disarming drug traffickers satisfies this test suggests that other drug offenders facing similar charges will face significant obstacles in challenging § 922(g)(1).</w:t>
      </w:r>
    </w:p>
    <w:p>
      <w:pPr>
        <w:pStyle w:val="Heading2"/>
      </w:pPr>
      <w:r>
        <w:t>Conclusion</w:t>
      </w:r>
    </w:p>
    <w:p>
      <w:r>
        <w:rPr>
          <w:b w:val="0"/>
        </w:rPr>
        <w:t>The Fifth Circuit's decision in United States v. Kimble affirms that § 922(g)(1)'s prohibition on felon firearm possession does not violate the Second Amendment as applied to individuals convicted of drug-trafficking offenses. The court held that disarming drug traffickers accords with the nation's history and tradition of firearm regulation. The unanimous panel of Judges Smith, Graves, and Duncan reached this conclusion in an opinion authored by Judge Jerry E. Smith.</w:t>
      </w:r>
    </w:p>
    <w:p>
      <w:r>
        <w:rPr>
          <w:b w:val="0"/>
        </w:rPr>
        <w:t>For future cases, the Kimble framework suggests that defendants with drug-trafficking convictions will face significant obstacles in challenging § 922(g)(1) in the Fifth Circuit. The firm should monitor other circuits for potential splits on whether the historical tradition test requires more granular analysis of specific felony categories.</w:t>
      </w:r>
    </w:p>
    <w:p>
      <w:r>
        <w:rPr>
          <w:b w:val="0"/>
        </w:rPr>
        <w:t>The firm should advise clients with drug-trafficking convictions that challenges to § 922(g)(1) under Kimble are unlikely to succeed in the Fifth Circuit. Any successful challenge would likely need to demonstrate that the specific felony at issue lacks historical analogues in the tradition of disarming dangerous persons, or that the categorical approach is inconsistent with the Second Amendment's protections.</w:t>
      </w:r>
    </w:p>
    <w:p/>
    <w:p>
      <w:r>
        <w:t>Respectfully submitted,</w:t>
      </w:r>
    </w:p>
    <w:p/>
    <w:p>
      <w:r>
        <w:t>[Senior Associate Name]</w:t>
      </w:r>
    </w:p>
    <w:p>
      <w:r>
        <w:t>Senior Associate</w:t>
      </w:r>
    </w:p>
    <w:p>
      <w:r>
        <w:t>[Firm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