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Columbia Legal Services v. Stemilt Ag Services</w:t>
      </w:r>
    </w:p>
    <w:p>
      <w:r>
        <w:rPr>
          <w:b/>
        </w:rPr>
        <w:t>TO:</w:t>
        <w:tab/>
      </w:r>
      <w:r>
        <w:t>Senior Partner</w:t>
      </w:r>
    </w:p>
    <w:p>
      <w:r>
        <w:rPr>
          <w:b/>
        </w:rPr>
        <w:t>FROM:</w:t>
        <w:tab/>
      </w:r>
      <w:r>
        <w:t>Senior Associate</w:t>
      </w:r>
    </w:p>
    <w:p>
      <w:r>
        <w:rPr>
          <w:b/>
        </w:rPr>
        <w:t>DATE:</w:t>
        <w:tab/>
      </w:r>
      <w:r>
        <w:t>July 15, 2025</w:t>
      </w:r>
    </w:p>
    <w:p>
      <w:r>
        <w:rPr>
          <w:b/>
        </w:rPr>
        <w:t>RE:</w:t>
        <w:tab/>
      </w:r>
      <w:r>
        <w:t>Analysis of Columbia Legal Services v. Stemilt Ag Services, LLC, 142 F.4th 1201 (9th Cir. 2025) — Nonparty Counsel Standing to Appeal Protective Orders and Waiver Through Settlement</w:t>
      </w:r>
    </w:p>
    <w:p>
      <w:r>
        <w:t>________________________________________________________________________________</w:t>
      </w:r>
    </w:p>
    <w:p>
      <w:pPr>
        <w:pStyle w:val="Heading1"/>
      </w:pPr>
      <w:r>
        <w:t>MEMORANDUM</w:t>
      </w:r>
    </w:p>
    <w:p>
      <w:r>
        <w:rPr>
          <w:b w:val="0"/>
        </w:rPr>
        <w:t>TO: Senior Partner</w:t>
        <w:br/>
        <w:t>FROM: Senior Associate</w:t>
        <w:br/>
        <w:t>DATE: July 15, 2025</w:t>
        <w:br/>
        <w:t>RE: Analysis of Columbia Legal Services v. Stemilt Ag Services, LLC, 142 F.4th 1201 (9th Cir. 2025) — Nonparty Counsel Standing to Appeal Protective Orders and Waiver Through Settlement</w:t>
      </w:r>
    </w:p>
    <w:p>
      <w:pPr>
        <w:pStyle w:val="Heading2"/>
      </w:pPr>
      <w:r>
        <w:t>QUESTION PRESENTED</w:t>
      </w:r>
    </w:p>
    <w:p>
      <w:r>
        <w:rPr>
          <w:b w:val="0"/>
        </w:rPr>
        <w:t>1. Whether nonparty counsel (Columbia Legal Services) has Article III standing to appeal a protective order that restricts counsel's ability to use discovery information obtained in a class action in other advocacy, where counsel would benefit from having that ability.</w:t>
      </w:r>
    </w:p>
    <w:p>
      <w:r>
        <w:rPr>
          <w:b w:val="0"/>
        </w:rPr>
        <w:t>2. Whether counsel waived its right to appeal the protective order through the settlement agreement in the underlying class action.</w:t>
      </w:r>
    </w:p>
    <w:p>
      <w:pPr>
        <w:pStyle w:val="Heading2"/>
      </w:pPr>
      <w:r>
        <w:t>BRIEF ANSWER</w:t>
      </w:r>
    </w:p>
    <w:p>
      <w:r>
        <w:rPr>
          <w:b w:val="0"/>
        </w:rPr>
        <w:t>Yes. The Ninth Circuit held that nonparty counsel was 'aggrieved' by the protective order and thus had Article III standing to appeal because counsel 'would clearly benefit from having the ability to use information obtained in discovery in the class action against the defendant in other advocacy.' No. The court further held that in the settlement agreement, counsel did not waive its right to appeal the discovery order.</w:t>
      </w:r>
    </w:p>
    <w:p>
      <w:pPr>
        <w:pStyle w:val="Heading2"/>
      </w:pPr>
      <w:r>
        <w:t>DISCUSSION</w:t>
      </w:r>
    </w:p>
    <w:p>
      <w:pPr>
        <w:pStyle w:val="Heading3"/>
      </w:pPr>
      <w:r>
        <w:t>I. Nonparty Counsel's Article III Standing to Appeal the Protective Order</w:t>
      </w:r>
    </w:p>
    <w:p>
      <w:r>
        <w:rPr>
          <w:b w:val="0"/>
        </w:rPr>
        <w:t>The protective order at issue imposed a significant limitation on class counsel's ability to use information obtained during discovery. Specifically, the district court ordered: 'Plaintiffs must seek leave of this court before they—or counsel—utilize discovery from this action in other advocacy.' The district court further warned it would 'grant leave only in limited circumstances.' This order effectively restricted Columbia Legal Services' ability to use discovery materials in its broader advocacy work on behalf of agricultural workers beyond the confines of the settled class action.</w:t>
      </w:r>
    </w:p>
    <w:p>
      <w:r>
        <w:rPr>
          <w:b w:val="0"/>
        </w:rPr>
        <w:t>To have Article III standing to appeal, a party must be 'aggrieved' by the order. The Ninth Circuit determined that nonparty counsel met this standard because counsel 'would clearly benefit from having the ability to use information obtained in discovery in the class action against the defendant in other advocacy.' This reasoning recognizes that counsel's professional obligations to current and future clients create a concrete interest in the ability to use discovery materials that goes beyond the interests of the named plaintiffs in the settled action.</w:t>
      </w:r>
    </w:p>
    <w:p>
      <w:r>
        <w:rPr>
          <w:b w:val="0"/>
        </w:rPr>
        <w:t>The court's holding is significant because it expands the class of parties who may challenge protective orders. Even though the underlying class action had been settled, the protective order's restrictions on counsel's use of discovery information in other advocacy constituted a continuing injury sufficient to confer standing. This recognizes that counsel's institutional role in representing agricultural workers creates an ongoing interest distinct from the named plaintiffs' interest in the resolution of the specific case.</w:t>
      </w:r>
    </w:p>
    <w:p>
      <w:r>
        <w:rPr>
          <w:b w:val="0"/>
        </w:rPr>
        <w:t>The practical effect of this holding is that nonparty counsel can serve as a vehicle for appellate review of protective orders even after the underlying litigation settles. This is particularly important in class action practice where counsel may represent similarly situated clients in future cases and would benefit from using discovery materials obtained in prior litigation.</w:t>
      </w:r>
    </w:p>
    <w:p>
      <w:pPr>
        <w:pStyle w:val="Heading3"/>
      </w:pPr>
      <w:r>
        <w:t>II. Waiver of the Right to Appeal Through Settlement</w:t>
      </w:r>
    </w:p>
    <w:p>
      <w:r>
        <w:rPr>
          <w:b w:val="0"/>
        </w:rPr>
        <w:t>The second issue addressed by the Ninth Circuit was whether counsel waived its right to appeal the protective order through the settlement agreement. The court held that 'in the settlement agreement, counsel did not waive its right to appeal the discovery order.' This holding establishes that the mere entry into a settlement agreement does not automatically extinguish counsel's ability to challenge prior rulings that affect counsel's interests beyond the specific case.</w:t>
      </w:r>
    </w:p>
    <w:p>
      <w:r>
        <w:rPr>
          <w:b w:val="0"/>
        </w:rPr>
        <w:t>This ruling has important implications for class action settlement practice. It suggests that counsel must explicitly waive their right to appeal discovery orders in the settlement agreement if the opposing party seeks to foreclose such appeals. A general release or settlement of the underlying claims does not necessarily extend to counsel's independent interest in using discovery materials in other matters.</w:t>
      </w:r>
    </w:p>
    <w:p>
      <w:r>
        <w:rPr>
          <w:b w:val="0"/>
        </w:rPr>
        <w:t>The court's analysis implicitly recognizes a distinction between the parties' substantive claims, which are resolved by settlement, and procedural or collateral orders that affect counsel's broader professional interests. The protective order's restriction on counsel's use of discovery information in other advocacy survives the settlement because it imposes an ongoing burden on counsel's ability to represent other clients effectively.</w:t>
      </w:r>
    </w:p>
    <w:p>
      <w:pPr>
        <w:pStyle w:val="Heading3"/>
      </w:pPr>
      <w:r>
        <w:t>III. Practical Implications for Practitioners</w:t>
      </w:r>
    </w:p>
    <w:p>
      <w:r>
        <w:rPr>
          <w:b w:val="0"/>
        </w:rPr>
        <w:t>This decision provides important guidance for practitioners on both sides of discovery disputes. For counsel who may wish to use discovery materials in future advocacy, the decision confirms that they can appeal protective orders even after settlement, provided they can demonstrate they are 'aggrieved' by the restriction. This creates a powerful incentive for counsel to carefully document the potential future uses of discovery information.</w:t>
      </w:r>
    </w:p>
    <w:p>
      <w:r>
        <w:rPr>
          <w:b w:val="0"/>
        </w:rPr>
        <w:t>For opposing parties and their counsel, the decision highlights the importance of including explicit waiver language in settlement agreements if they wish to prevent appeals of protective orders. A general settlement provision will not suffice to extinguish counsel's independent standing to challenge restrictions on their use of discovery materials.</w:t>
      </w:r>
    </w:p>
    <w:p>
      <w:r>
        <w:rPr>
          <w:b w:val="0"/>
        </w:rPr>
        <w:t>Finally, the decision has broader implications for protective order practice in class actions involving institutional counsel such as legal services organizations. Courts and parties should anticipate that counsel with ongoing representation responsibilities may have standing to appeal protective orders that restrict their use of discovery information, even after the underlying case is resolved.</w:t>
      </w:r>
    </w:p>
    <w:p>
      <w:pPr>
        <w:pStyle w:val="Heading2"/>
      </w:pPr>
      <w:r>
        <w:t>CONCLUSION</w:t>
      </w:r>
    </w:p>
    <w:p>
      <w:r>
        <w:rPr>
          <w:b w:val="0"/>
        </w:rPr>
        <w:t>The Ninth Circuit's decision in Columbia Legal Services v. Stemilt Ag Services, LLC establishes two important principles. First, nonparty counsel who would benefit from using discovery information in other advocacy has Article III standing to appeal a protective order restricting such use, even after the underlying case settles. Second, such counsel does not waive its right to appeal through a settlement agreement absent explicit waiver language. The panel vacated the district court's protective order and remanded for further proceedings, ensuring that counsel's ability to use discovery materials will receive proper appellate scrutiny.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