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 People v. Salazar Resentencing Analysis</w:t>
      </w:r>
    </w:p>
    <w:p>
      <w:r>
        <w:rPr>
          <w:b/>
        </w:rPr>
        <w:t>TO:</w:t>
        <w:tab/>
      </w:r>
      <w:r>
        <w:t>Supervising Partner</w:t>
      </w:r>
    </w:p>
    <w:p>
      <w:r>
        <w:rPr>
          <w:b/>
        </w:rPr>
        <w:t>FROM:</w:t>
        <w:tab/>
      </w:r>
      <w:r>
        <w:t>Senior Associate</w:t>
      </w:r>
    </w:p>
    <w:p>
      <w:r>
        <w:rPr>
          <w:b/>
        </w:rPr>
        <w:t>RE:</w:t>
        <w:tab/>
      </w:r>
      <w:r>
        <w:t>Resentencing Remedy Analysis: People v. Salazar, S275788</w:t>
      </w:r>
    </w:p>
    <w:p>
      <w:r>
        <w:t>________________________________________________________________________________</w:t>
      </w:r>
    </w:p>
    <w:p>
      <w:pPr>
        <w:pStyle w:val="Heading1"/>
      </w:pPr>
      <w:r>
        <w:t>Memorandum</w:t>
      </w:r>
    </w:p>
    <w:p>
      <w:r>
        <w:rPr>
          <w:b w:val="0"/>
        </w:rPr>
        <w:t>This memorandum analyzes the appropriate resentencing remedy for Norman Thomas Salazar pursuant to the Supreme Court of California's decision in People v. Salazar, 315 Cal. Rptr. 3d 295 (Cal. 2023), and the new sentencing framework created by Senate Bill No. 567.</w:t>
      </w:r>
    </w:p>
    <w:p>
      <w:pPr>
        <w:pStyle w:val="Heading2"/>
      </w:pPr>
      <w:r>
        <w:t>I. Procedural History and Holding</w:t>
      </w:r>
    </w:p>
    <w:p>
      <w:r>
        <w:rPr>
          <w:b w:val="0"/>
        </w:rPr>
        <w:t>Norman Salazar was originally sentenced to a middle term. While his appeal was pending, the California Legislature enacted Senate Bill No. 567 (Stats. 2021, ch. 731), which amended Penal Code section 1170(b). The new statute creates a presumption that the sentencing court shall enter a lower term sentence when a psychological, physical, or childhood trauma contributed to the offense. (Pen. Code, section 1170, subd. (b)(6) and (A).) The parties agree, and the Attorney General concedes, that this new legislation applies on appeal to Salazar's nonfinal case under the principle of In re Estrada (1965) 63 Cal.2d 740, 745.</w:t>
      </w:r>
    </w:p>
    <w:p>
      <w:r>
        <w:rPr>
          <w:b w:val="0"/>
        </w:rPr>
        <w:t>The Attorney General further concedes that the record discloses Salazar may have suffered a qualifying trauma, meeting the statute's threshold for triggering the lower term presumption. Citing People v. Frahs (2020) 9 Cal.5th 618, 638-640, the Court noted this concession. The Supreme Court of California, in an opinion authored by Justice Groban, held that the appropriate remedy was to remand the case for resentencing proceedings consistent with its prior decision in People v. Gutierrez (2014) 58 Cal.4th 1354.</w:t>
      </w:r>
    </w:p>
    <w:p>
      <w:pPr>
        <w:pStyle w:val="Heading2"/>
      </w:pPr>
      <w:r>
        <w:t>II. Statutory Framework: Penal Code Section 1170(b)(6)</w:t>
      </w:r>
    </w:p>
    <w:p>
      <w:r>
        <w:rPr>
          <w:b w:val="0"/>
        </w:rPr>
        <w:t>Senate Bill 567 amended Penal Code section 1170 to establish a structured sentencing framework. Under the new subdivision (b)(6), there is a presumption that the sentencing court shall enter a lower term sentence when specific mitigating circumstances are present. Among these qualifying circumstances is a finding that a psychological, physical, or childhood trauma contributed to the commission of the offense. (Pen. Code, section 1170, subd. (b)(6) and (A).)</w:t>
      </w:r>
    </w:p>
    <w:p>
      <w:r>
        <w:rPr>
          <w:b w:val="0"/>
        </w:rPr>
        <w:t>The statute does not create an absolute mandate. The sentencing court retains discretion to impose a middle or upper term, but only if it finds that the aggravating circumstances outweigh the mitigating circumstances such that the lower term would be contrary to the interests of justice. (Pen. Code, section 1170, subd. (b)(6).) This framework shifts the baseline presumption from the middle term to the lower term when the specified conditions are met, requiring the court to affirmatively justify any departure.</w:t>
      </w:r>
    </w:p>
    <w:p>
      <w:pPr>
        <w:pStyle w:val="Heading2"/>
      </w:pPr>
      <w:r>
        <w:t>III. Governing Legal Standard: People v. Gutierrez</w:t>
      </w:r>
    </w:p>
    <w:p>
      <w:r>
        <w:rPr>
          <w:b w:val="0"/>
        </w:rPr>
        <w:t>The Supreme Court in Salazar relied on the legal standard established in People v. Gutierrez (2014) 58 Cal.4th 1354. In Gutierrez, the Court held that when a sentencing court was unaware of the full scope of its discretionary powers at the time of sentencing, the appropriate remedy is to remand the case for a new sentencing hearing. This ensures the trial court can exercise its discretion with full knowledge of all legally relevant factors and authority.</w:t>
      </w:r>
    </w:p>
    <w:p>
      <w:r>
        <w:rPr>
          <w:b w:val="0"/>
        </w:rPr>
        <w:t>In Salazar, the original sentencing court did not have the benefit of the new presumption under Penal Code section 1170(b)(6) because it did not yet exist. The Court concluded that under Gutierrez, the trial court must be given the opportunity to resentence Salazar with awareness of this new statutory framework, including the lower term presumption and the court's authority to depart from it only upon a specific finding regarding aggravating and mitigating circumstances.</w:t>
      </w:r>
    </w:p>
    <w:p>
      <w:pPr>
        <w:pStyle w:val="Heading2"/>
      </w:pPr>
      <w:r>
        <w:t>IV. Directed Resentencing Procedure</w:t>
      </w:r>
    </w:p>
    <w:p>
      <w:r>
        <w:rPr>
          <w:b w:val="0"/>
        </w:rPr>
        <w:t>The Supreme Court's holding in Salazar directs a specific resentencing procedure. The case is remanded to the Ventura County Superior Court for resentencing. At the new hearing, the sentencing court must exercise its discretion with full knowledge of the amended Penal Code section 1170(b)(6).</w:t>
      </w:r>
    </w:p>
    <w:p>
      <w:r>
        <w:rPr>
          <w:b w:val="0"/>
        </w:rPr>
        <w:t>Given the Attorney General's concession that the record may show a qualifying trauma, the lower term presumption will likely be triggered. The resentencing court must therefore consider imposing the lower term. If the court concludes a middle or upper term is warranted, it must make an explicit finding that the aggravating circumstances outweigh the mitigating circumstances such that the lower term would be contrary to the interests of justice, as required by the statute. (Pen. Code, section 1170, subd. (b)(6).) This procedure aligns with the Gutierrez requirement that a sentencing court act with full awareness of its discretionary powers.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