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Behler v. Kai-Shing Tao</w:t>
      </w:r>
    </w:p>
    <w:p>
      <w:r>
        <w:rPr>
          <w:b/>
        </w:rPr>
        <w:t>TO:</w:t>
        <w:tab/>
      </w:r>
      <w:r>
        <w:t>Senior Partner</w:t>
      </w:r>
    </w:p>
    <w:p>
      <w:r>
        <w:rPr>
          <w:b/>
        </w:rPr>
        <w:t>FROM:</w:t>
        <w:tab/>
      </w:r>
      <w:r>
        <w:t>Associate</w:t>
      </w:r>
    </w:p>
    <w:p>
      <w:r>
        <w:rPr>
          <w:b/>
        </w:rPr>
        <w:t>DATE:</w:t>
        <w:tab/>
      </w:r>
      <w:r>
        <w:t>February 2025</w:t>
      </w:r>
    </w:p>
    <w:p>
      <w:r>
        <w:rPr>
          <w:b/>
        </w:rPr>
        <w:t>RE:</w:t>
        <w:tab/>
      </w:r>
      <w:r>
        <w:t>Analysis of Behler v. Kai-Shing Tao, 2025 NY Slip Op 00803</w:t>
      </w:r>
    </w:p>
    <w:p>
      <w:r>
        <w:t>________________________________________________________________________________</w:t>
      </w:r>
    </w:p>
    <w:p>
      <w:pPr>
        <w:pStyle w:val="Heading1"/>
      </w:pPr>
      <w:r>
        <w:t>Case Summary</w:t>
      </w:r>
    </w:p>
    <w:p>
      <w:r>
        <w:rPr>
          <w:b w:val="0"/>
        </w:rPr>
        <w:t>In Behler v. Kai-Shing Tao, the New York Court of Appeals addressed a dispute arising from an oral investment agreement between two longtime business associates. Defendant Kai-Shing Tao serves as the Chief Executive Officer and Chairman of the Board of Remark Holdings, Inc. ("Remark"), a publicly traded company. Defendant also controls Digipac LLC ("Digipac"), a Delaware-incorporated limited liability company that he uses to route funds to Remark.</w:t>
      </w:r>
    </w:p>
    <w:p>
      <w:r>
        <w:rPr>
          <w:b w:val="0"/>
        </w:rPr>
        <w:t>Plaintiff Albert Behler and defendant have been "close friends" for over 20 years and have "often conducted business with each other through oral agreements and representations." In 2012, defendant asked plaintiff to invest in Remark by investing in Digipac. Plaintiff expressed concern about "the inherent difficulty in liquidating shares of a limited liability company" and preferred to invest directly in Remark rather than indirectly through Digipac.</w:t>
      </w:r>
    </w:p>
    <w:p>
      <w:r>
        <w:rPr>
          <w:b w:val="0"/>
        </w:rPr>
        <w:t>The parties entered into an oral agreement under which plaintiff promised to invest $3 million in Digipac, and defendant promised to provide an opportunity for plaintiff to exit the investment. The exit opportunity would materialize in one of two ways: (1) if Remark's share price hit $50, defendant "would cause Digipac to sell its shares of [R]emark and distribute the proceeds (based on [plaintiff's] pro rata share of Digipac) to [plaintiff]"; or (2) defendant would buy out plaintiff's interest in Digipac at the original investment amount.</w:t>
      </w:r>
    </w:p>
    <w:p>
      <w:pPr>
        <w:pStyle w:val="Heading1"/>
      </w:pPr>
      <w:r>
        <w:t>Issue Presented</w:t>
      </w:r>
    </w:p>
    <w:p>
      <w:r>
        <w:rPr>
          <w:b w:val="0"/>
        </w:rPr>
        <w:t>The central issue before the Court of Appeals was whether a limited liability company agreement governed by Delaware law supersedes, by operation of its merger clause, an alleged prior oral agreement between the plaintiff and defendant. This question required the Court to analyze the effect of an integration clause within a written LLC agreement on separate, earlier oral promises between the contracting parties.</w:t>
      </w:r>
    </w:p>
    <w:p>
      <w:pPr>
        <w:pStyle w:val="Heading1"/>
      </w:pPr>
      <w:r>
        <w:t>Holding and Reasoning</w:t>
      </w:r>
    </w:p>
    <w:p>
      <w:r>
        <w:rPr>
          <w:b w:val="0"/>
        </w:rPr>
        <w:t>The Court of Appeals held that the plain language of the merger clause in the LLC agreement extinguishes the alleged prior oral agreement, and accordingly affirmed the lower court's decision. Judge Singas authored the opinion, decided on February 13, 2025.</w:t>
      </w:r>
    </w:p>
    <w:p>
      <w:r>
        <w:rPr>
          <w:b w:val="0"/>
        </w:rPr>
        <w:t>The Court's reasoning centered on the plain language of the merger clause contained in the Delaware-governed LLC agreement. Under Delaware law, which governed the LLC agreement, a merger clause operates to integrate the terms of the written agreement and supersede any prior or contemporaneous oral agreements between the parties. Because the merger clause's language was unambiguous and encompassed the subject matter of the alleged oral agreement, the Court concluded that the written agreement controlled and the oral promise was extinguished.</w:t>
      </w:r>
    </w:p>
    <w:p>
      <w:r>
        <w:rPr>
          <w:b w:val="0"/>
        </w:rPr>
        <w:t>This holding reflects the well-established principle under Delaware contract law that when parties reduce their agreement to a writing that contains a merger or integration clause, extrinsic evidence of prior oral agreements is generally inadmissible to vary or contradict the terms of the written instrument. The Court applied this principle in the LLC context, treating the LLC agreement as the definitive expression of the parties' obligations.</w:t>
      </w:r>
    </w:p>
    <w:p>
      <w:pPr>
        <w:pStyle w:val="Heading1"/>
      </w:pPr>
      <w:r>
        <w:t>Key Takeaways for Client Counseling</w:t>
      </w:r>
    </w:p>
    <w:p>
      <w:r>
        <w:rPr>
          <w:b w:val="0"/>
        </w:rPr>
        <w:t>This decision underscores several critical lessons for client counseling. First, clients entering into business arrangements should understand that oral agreements may be unenforceable if subsequently superseded by a written agreement containing a merger or integration clause. Any material terms agreed upon orally should be incorporated into the final written agreement before execution.</w:t>
      </w:r>
    </w:p>
    <w:p>
      <w:r>
        <w:rPr>
          <w:b w:val="0"/>
        </w:rPr>
        <w:t>Second, clients must carefully review merger clauses in any written agreement, particularly LLC agreements governed by Delaware law. A merger clause that broadly states the written agreement constitutes the entire agreement between the parties will likely extinguish any prior oral promises, even those that induced the client to enter into the transaction.</w:t>
      </w:r>
    </w:p>
    <w:p>
      <w:r>
        <w:rPr>
          <w:b w:val="0"/>
        </w:rPr>
        <w:t>Third, where parties intend for certain oral promises to survive the execution of a written agreement, those promises must be expressly preserved in the written document. Reliance on side agreements or oral assurances is risky, as courts will enforce the written terms as the sole expression of the parties' agreement.</w:t>
      </w:r>
    </w:p>
    <w:p>
      <w:pPr>
        <w:pStyle w:val="Heading1"/>
      </w:pPr>
      <w:r>
        <w:t>Potential Limitations or Distinguishing Factors</w:t>
      </w:r>
    </w:p>
    <w:p>
      <w:r>
        <w:rPr>
          <w:b w:val="0"/>
        </w:rPr>
        <w:t>While the Court's holding is clear, practitioners should note several factors that may limit its applicability or provide grounds for distinguishing in future cases. The decision rests on the specific language of the merger clause in the Delaware-governed LLC agreement. Where a written agreement lacks a merger clause, or where the merger clause is narrowly drafted, prior oral agreements may remain enforceable.</w:t>
      </w:r>
    </w:p>
    <w:p>
      <w:r>
        <w:rPr>
          <w:b w:val="0"/>
        </w:rPr>
        <w:t>Additionally, the decision does not appear to address potential equitable defenses such as fraud, duress, or unconscionability. In circumstances where a party was induced to sign a written agreement containing a merger clause through fraudulent misrepresentations, courts may decline to enforce the merger clause's preclusive effect. Similarly, where the written agreement was executed under duress or is otherwise unconscionable, the merger clause may not operate to extinguish legitimate oral promises.</w:t>
      </w:r>
    </w:p>
    <w:p>
      <w:r>
        <w:rPr>
          <w:b w:val="0"/>
        </w:rPr>
        <w:t>The parties' 20-year friendship and history of conducting business through oral agreements, while relevant to the factual background, did not alter the legal analysis. Courts will enforce the plain language of written agreements regardless of the parties' prior course of dealing, unless the written agreement itself incorporates such course of dealing. Finally, practitioners should consider whether the alleged oral agreement involved independent consideration separate from the LLC agreement, which might support an argument that the oral agreement was not intended to be merged.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