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Memo - Katleski v. Cazenovia Golf Club</w:t>
      </w:r>
    </w:p>
    <w:p>
      <w:r>
        <w:rPr>
          <w:b/>
        </w:rPr>
        <w:t>TO:</w:t>
        <w:tab/>
      </w:r>
      <w:r>
        <w:t>Litigation Team</w:t>
      </w:r>
    </w:p>
    <w:p>
      <w:r>
        <w:rPr>
          <w:b/>
        </w:rPr>
        <w:t>FROM:</w:t>
        <w:tab/>
      </w:r>
      <w:r>
        <w:t>[Associate Name]</w:t>
      </w:r>
    </w:p>
    <w:p>
      <w:r>
        <w:rPr>
          <w:b/>
        </w:rPr>
        <w:t>DATE:</w:t>
        <w:tab/>
      </w:r>
      <w:r>
        <w:t>[Current Date]</w:t>
      </w:r>
    </w:p>
    <w:p>
      <w:r>
        <w:rPr>
          <w:b/>
        </w:rPr>
        <w:t>RE:</w:t>
        <w:tab/>
      </w:r>
      <w:r>
        <w:t>Legal Memorandum: Katleski v. Cazenovia Golf Club, Inc., 2025 NY Slip Op 02142 - Primary Assumption of Risk Doctrine</w:t>
      </w:r>
    </w:p>
    <w:p>
      <w:r>
        <w:rPr>
          <w:b/>
        </w:rPr>
        <w:t>CC:</w:t>
        <w:tab/>
      </w:r>
      <w:r>
        <w:t>Senior Partner</w:t>
      </w:r>
    </w:p>
    <w:p>
      <w:r>
        <w:t>________________________________________________________________________________</w:t>
      </w:r>
    </w:p>
    <w:p>
      <w:pPr>
        <w:pStyle w:val="Heading1"/>
      </w:pPr>
      <w:r>
        <w:t>Case Summary</w:t>
      </w:r>
    </w:p>
    <w:p>
      <w:r>
        <w:rPr>
          <w:b w:val="0"/>
        </w:rPr>
        <w:t>This memorandum analyzes the Court of Appeals decision in Katleski v. Cazenovia Golf Club, Inc., 2025 NY Slip Op 02142 (Apr. 15, 2025), which consolidated two appeals to clarify the scope of the primary assumption of risk doctrine in New York personal injury law.</w:t>
      </w:r>
    </w:p>
    <w:p>
      <w:r>
        <w:rPr>
          <w:b w:val="0"/>
        </w:rPr>
        <w:t>The first appeal, Case No. 33, involved plaintiff David Katleski, who was struck by an errant golf ball while competing in a golf tournament. Katleski brought a negligence claim against respondent Cazenovia Golf Club, Inc. and other defendants. The second appeal, Case No. 62 SSM 4, involved plaintiff Mary E. Galante, who was struck by a car in the parking lot of a golf course before she began to play the course. Galante brought claims against defendants including Robert G. Karlis and the County of Erie.</w:t>
      </w:r>
    </w:p>
    <w:p>
      <w:r>
        <w:rPr>
          <w:b w:val="0"/>
        </w:rPr>
        <w:t>Both cases arrived at the Court of Appeals on the same legal question: whether the primary assumption of risk doctrine barred the plaintiffs' negligence claims. The Court's opinion, authored by Judge Cannataro, sought to clarify the doctrine's boundaries in light of its recent reaffirmation in Grady v. Chenango Val. Cent. Sch. Dist., 40 NY3d 89 (2023), and the legislative comparative fault regime set forth in CPLR 1411.</w:t>
      </w:r>
    </w:p>
    <w:p>
      <w:pPr>
        <w:pStyle w:val="Heading1"/>
      </w:pPr>
      <w:r>
        <w:t>The Primary Assumption of Risk Doctrine</w:t>
      </w:r>
    </w:p>
    <w:p>
      <w:r>
        <w:rPr>
          <w:b w:val="0"/>
        </w:rPr>
        <w:t>The primary assumption of risk doctrine holds that participants in certain activities voluntarily assume the known, inherent risks of that activity, thereby relieving other participants or organizers of a duty to protect against those risks. The Court of Appeals recently reaffirmed this doctrine in Grady v. Chenango Val. Cent. Sch. Dist., 40 NY3d 89, 95 (2023), while emphasizing that the doctrine 'must be carefully circumscribed so as not to undermine the legislative comparative fault regime applicable to personal injury actions' (citing CPLR 1411).</w:t>
      </w:r>
    </w:p>
    <w:p>
      <w:r>
        <w:rPr>
          <w:b w:val="0"/>
        </w:rPr>
        <w:t>In Katleski, the Court clarified two critical limitations on the doctrine's application. First, the doctrine does not apply to 'unreasonably enhanced risks.' This means that even if a risk is inherent in an activity, a defendant may still be liable if their conduct or the conditions of the activity unreasonably increased that risk beyond its normal scope. Second, the doctrine is confined to 'cases involving participation in athletics and recreation.' The Court explicitly rejected any broader application that might extend the doctrine to incidental or peripheral activities not directly related to athletic or recreational participation.</w:t>
      </w:r>
    </w:p>
    <w:p>
      <w:r>
        <w:rPr>
          <w:b w:val="0"/>
        </w:rPr>
        <w:t>These limitations serve to prevent the doctrine from swallowing the comparative fault principles codified in CPLR 1411, which generally allows a plaintiff's recovery to be reduced in proportion to their own fault but does not automatically bar recovery for inherent risks. The Court's careful circumscription ensures that the doctrine remains a narrow exception rather than a general shield for negligence claims arising in recreational contexts.</w:t>
      </w:r>
    </w:p>
    <w:p>
      <w:pPr>
        <w:pStyle w:val="Heading1"/>
      </w:pPr>
      <w:r>
        <w:t>Application to Katleski's Claim</w:t>
      </w:r>
    </w:p>
    <w:p>
      <w:r>
        <w:rPr>
          <w:b w:val="0"/>
        </w:rPr>
        <w:t>The Court held that the primary assumption of risk doctrine precludes Katleski's negligence claim against Cazenovia Golf Club, Inc. The Court determined that 'the risk of being struck by a mishit ball while golfing is inherent in the game.' This finding is central to the doctrine's application, as it identifies the specific hazard as one that participants in golf tournaments voluntarily assume when they choose to compete.</w:t>
      </w:r>
    </w:p>
    <w:p>
      <w:r>
        <w:rPr>
          <w:b w:val="0"/>
        </w:rPr>
        <w:t>Importantly, the Court's analysis did not end with the inherent nature of the risk. The opinion also considered whether the golf course's design or conditions might have 'unreasonably enhanced' the risk. The Court found 'no evidence that the design of the course unreasonably enhanced that risk.' This dual requirement, that the risk must be inherent to the activity and that it must not have been unreasonably enhanced by the defendant's conduct or the conditions of the venue, is a key aspect of the clarified doctrine.</w:t>
      </w:r>
    </w:p>
    <w:p>
      <w:r>
        <w:rPr>
          <w:b w:val="0"/>
        </w:rPr>
        <w:t>Because both conditions were met in Katleski's case, the risk was inherent and not unreasonably enhanced, the doctrine operated as a complete bar to his negligence claim. This outcome illustrates the doctrine's practical effect: while participants assume the ordinary risks of a sport, they do not assume risks that have been artificially or negligently increased by others.</w:t>
      </w:r>
    </w:p>
    <w:p>
      <w:pPr>
        <w:pStyle w:val="Heading1"/>
      </w:pPr>
      <w:r>
        <w:t>Application to Galante's Claim</w:t>
      </w:r>
    </w:p>
    <w:p>
      <w:r>
        <w:rPr>
          <w:b w:val="0"/>
        </w:rPr>
        <w:t>The Court's treatment of Galante's claim demonstrates the second limitation on the primary assumption of risk doctrine: its confinement to cases involving direct participation in athletics and recreation. Galante was struck by a car in the parking lot of a golf course before she began to play. The Court's opinion implicitly or explicitly holds that such an accident falls outside the doctrine's scope because it does not arise from participation in an athletic or recreational activity.</w:t>
      </w:r>
    </w:p>
    <w:p>
      <w:r>
        <w:rPr>
          <w:b w:val="0"/>
        </w:rPr>
        <w:t>This distinction is critical. The doctrine protects organizers and participants from claims arising from the inherent risks of the sport itself, such as being struck by a golf ball during play, but does not extend to hazards encountered in ancillary areas like parking lots, clubhouses, or pro shops, even if those areas are associated with a recreational facility. Galante's accident occurred before she began any athletic activity, placing it firmly in the category of general negligence rather than sports-related assumption of risk.</w:t>
      </w:r>
    </w:p>
    <w:p>
      <w:r>
        <w:rPr>
          <w:b w:val="0"/>
        </w:rPr>
        <w:t>The contrast between the two cases underscores the Court's effort to maintain a clear boundary around the doctrine. While Katleski's accident occurred during active participation in a golf tournament and involved an inherent risk of the sport, Galante's accident occurred in a non-participatory context and involved a risk entirely unrelated to the sport of golf. The Court's refusal to apply the doctrine to Galante's claim affirms that the doctrine is not a blanket immunity for all negligence occurring on or near recreational property.</w:t>
      </w:r>
    </w:p>
    <w:p>
      <w:pPr>
        <w:pStyle w:val="Heading1"/>
      </w:pPr>
      <w:r>
        <w:t>Practical Implications</w:t>
      </w:r>
    </w:p>
    <w:p>
      <w:r>
        <w:rPr>
          <w:b w:val="0"/>
        </w:rPr>
        <w:t>The Katleski decision has significant practical implications for the sports and recreation industry in New York. For golf course owners and operators, the opinion confirms that while they are protected from claims arising from inherent risks of golf, like errant balls, they remain liable for negligence that unreasonably enhances those risks. This underscores the importance of maintaining safe course designs, adequate spacing between holes, and proper signage to minimize the chance of golfers being struck by mishit balls from adjacent fairways.</w:t>
      </w:r>
    </w:p>
    <w:p>
      <w:r>
        <w:rPr>
          <w:b w:val="0"/>
        </w:rPr>
        <w:t>Tournament organizers must also take note. The doctrine's protection extends to risks inherent in the competitive setting, but organizers have a duty not to create conditions that unreasonably elevate those risks. For example, organizing a tournament in a dangerously cramped layout or without adequate safety buffers could expose organizers to liability despite the doctrine.</w:t>
      </w:r>
    </w:p>
    <w:p>
      <w:r>
        <w:rPr>
          <w:b w:val="0"/>
        </w:rPr>
        <w:t>For participants in recreational activities, the decision clarifies that they assume the ordinary risks of their chosen sport but retain the right to sue for negligence that makes those risks unreasonably dangerous. The presence of the National Golf Course Owners Association as amicus curiae in the Katleski appeal highlights the industry's interest in defining the doctrine's boundaries, as the decision affects the scope of liability for recreational facilities across the state.</w:t>
      </w:r>
    </w:p>
    <w:p>
      <w:r>
        <w:rPr>
          <w:b w:val="0"/>
        </w:rPr>
        <w:t>Ultimately, the Court's opinion reaffirms the balance between encouraging participation in athletics and recreation by shielding organizers from liability for inherent risks and preserving the legislative comparative fault regime of CPLR 1411. The doctrine remains a powerful defense, but only when applied within its carefully circumscribed limits.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