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Coca-Cola (KO) Quarterly Variance Analysis Memo</w:t>
      </w:r>
    </w:p>
    <w:p>
      <w:r>
        <w:rPr>
          <w:b/>
        </w:rPr>
        <w:t>TO:</w:t>
        <w:tab/>
      </w:r>
      <w:r>
        <w:t>Portfolio Manager, Consumer Staples Sleeve</w:t>
      </w:r>
    </w:p>
    <w:p>
      <w:r>
        <w:rPr>
          <w:b/>
        </w:rPr>
        <w:t>FROM:</w:t>
        <w:tab/>
      </w:r>
      <w:r>
        <w:t>Senior Financial Analyst</w:t>
      </w:r>
    </w:p>
    <w:p>
      <w:r>
        <w:rPr>
          <w:b/>
        </w:rPr>
        <w:t>DATE:</w:t>
        <w:tab/>
      </w:r>
      <w:r>
        <w:t>Q1 2026 Performance Review</w:t>
      </w:r>
    </w:p>
    <w:p>
      <w:r>
        <w:rPr>
          <w:b/>
        </w:rPr>
        <w:t>RE:</w:t>
        <w:tab/>
      </w:r>
      <w:r>
        <w:t>Quarterly Variance Analysis: Coca-Cola (KO) - Q1 2026 vs. Q4 2025 and FY 2025 Run-Rate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rPr>
          <w:b w:val="0"/>
        </w:rPr>
        <w:t>Coca-Cola reported Q1 2026 revenue of $12.47 billion, representing a solid start to the fiscal year. Compared to an estimated Q4 2025 revenue of $11.28 billion, this marks a quarter-over-quarter increase of approximately 10.6%. The company's full-year 2025 revenue was $47.94 billion, translating to a quarterly run-rate of approximately $11.99 billion, which Q1 2026 exceeded by about 4.0%. Gross profit and operating income also showed sequential improvement, though net income experienced a modest decline quarter-over-quarter, primarily due to higher selling, general and administrative (SG&amp;A) expenses relative to cost of goods sold. Profitability margins remained robust, with a gross margin of 62.9% and an operating margin of 34.9% in Q1 2026, indicating stable operational efficiency.</w:t>
      </w:r>
    </w:p>
    <w:p>
      <w:pPr>
        <w:pStyle w:val="Heading1"/>
      </w:pPr>
      <w:r>
        <w:t>Variance Analysis: Key Financial Metrics</w:t>
      </w:r>
    </w:p>
    <w:p>
      <w:r>
        <w:rPr>
          <w:b w:val="0"/>
        </w:rPr>
        <w:t>The following table details the quarter-over-quarter (Q1 2026 vs. Q4 2025) and year-over-year-run-rate (Q1 2026 vs. FY 2025/4) variances for Coca-Cola's core income statement metrics. Q4 2025 figures are derived by subtracting the year-to-date through Q3 2025 (data provided for Q3 2025 cumulative) from the FY 2025 totals. All figures are in millions of U.S. dollars.</w:t>
      </w:r>
    </w:p>
    <w:p/>
    <w:p>
      <w:r>
        <w:rPr>
          <w:b/>
        </w:rPr>
        <w:t>Variance Analysis Table (in millions USD)</w:t>
      </w:r>
    </w:p>
    <w:p/>
    <w:p>
      <w:r>
        <w:rPr>
          <w:b w:val="0"/>
        </w:rPr>
        <w:t>| Metric               | Q1 2026   | Q4 2025 (Est.) | QoQ Variance | QoQ % | FY 2025 Quarterly Avg | vs. Run-Rate | vs. Run-Rate % |</w:t>
      </w:r>
    </w:p>
    <w:p>
      <w:r>
        <w:rPr>
          <w:b w:val="0"/>
        </w:rPr>
        <w:t>|----------------------|-----------|----------------|--------------|-------|------------------------|--------------|----------------|</w:t>
      </w:r>
    </w:p>
    <w:p>
      <w:r>
        <w:rPr>
          <w:b w:val="0"/>
        </w:rPr>
        <w:t>| Revenue              | $12,472   | $11,277        | $1,195       | 10.6% | $11,985                | $487         | 4.1%           |</w:t>
      </w:r>
    </w:p>
    <w:p>
      <w:r>
        <w:rPr>
          <w:b w:val="0"/>
        </w:rPr>
        <w:t>| COGS                 | $4,620    | $4,723         | ($103)       | -2.2% | $4,599                 | $21          | 0.5%           |</w:t>
      </w:r>
    </w:p>
    <w:p>
      <w:r>
        <w:rPr>
          <w:b w:val="0"/>
        </w:rPr>
        <w:t>| Gross Profit         | $7,852    | $6,554         | $1,298       | 19.8% | $7,386                 | $466         | 6.3%           |</w:t>
      </w:r>
    </w:p>
    <w:p>
      <w:r>
        <w:rPr>
          <w:b w:val="0"/>
        </w:rPr>
        <w:t>| SG&amp;A Expense         | $3,472    | $4,199         | ($727)       | -17.3%| $3,630                 | ($158)       | -4.4%          |</w:t>
      </w:r>
    </w:p>
    <w:p>
      <w:r>
        <w:rPr>
          <w:b w:val="0"/>
        </w:rPr>
        <w:t>| Operating Income     | $4,359    | $1,841         | $2,518       | 136.8%| $3,441                 | $918         | 26.7%          |</w:t>
      </w:r>
    </w:p>
    <w:p>
      <w:r>
        <w:rPr>
          <w:b w:val="0"/>
        </w:rPr>
        <w:t>| Net Income           | $3,924    | $2,271         | $1,653       | 72.8% | $3,277                 | $647         | 19.7%          |</w:t>
      </w:r>
    </w:p>
    <w:p/>
    <w:p>
      <w:r>
        <w:rPr>
          <w:b/>
        </w:rPr>
        <w:t>Key Variance Explanations:</w:t>
      </w:r>
    </w:p>
    <w:p/>
    <w:p>
      <w:r>
        <w:rPr>
          <w:b/>
        </w:rPr>
        <w:t>Revenue:</w:t>
      </w:r>
      <w:r>
        <w:rPr>
          <w:b w:val="0"/>
        </w:rPr>
        <w:t xml:space="preserve"> Q1 2026 revenue of $12.47 billion increased by $1.20 billion (10.6%) from the estimated Q4 2025 figure of $11.28 billion. The Q4 2025 estimate was calculated as FY 2025 revenue ($47.94B) minus Q3 2025 YTD revenue ($36.12B). Q1 2026 also surpassed the FY 2025 quarterly average of $11.99 billion by $487 million (4.1%), suggesting positive momentum into the new year.</w:t>
      </w:r>
    </w:p>
    <w:p/>
    <w:p>
      <w:r>
        <w:rPr>
          <w:b/>
        </w:rPr>
        <w:t>Cost of Goods Sold (COGS):</w:t>
      </w:r>
      <w:r>
        <w:rPr>
          <w:b w:val="0"/>
        </w:rPr>
        <w:t xml:space="preserve"> COGS in Q1 2026 was $4.62 billion, slightly lower than the estimated Q4 2025 figure of $4.72 billion (FY25 $18.40B minus Q3 YTD $13.67B). This modest decrease occurred despite higher revenue, indicating favorable cost management or mix. COGS was roughly in line with the FY 2025 quarterly average of $4.60 billion.</w:t>
      </w:r>
    </w:p>
    <w:p/>
    <w:p>
      <w:r>
        <w:rPr>
          <w:b/>
        </w:rPr>
        <w:t>Gross Profit:</w:t>
      </w:r>
      <w:r>
        <w:rPr>
          <w:b w:val="0"/>
        </w:rPr>
        <w:t xml:space="preserve"> Driven by the combination of higher revenue and stable-to-lower COGS, gross profit expanded significantly. Q1 2026 gross profit of $7.85 billion was $1.30 billion (19.8%) higher than the Q4 2025 estimate and $466 million (6.3%) above the annual run-rate, improving the gross margin to 62.9% from an estimated Q4 2025 level of 58.1%.</w:t>
      </w:r>
    </w:p>
    <w:p/>
    <w:p>
      <w:r>
        <w:rPr>
          <w:b/>
        </w:rPr>
        <w:t>SG&amp;A Expense:</w:t>
      </w:r>
      <w:r>
        <w:rPr>
          <w:b w:val="0"/>
        </w:rPr>
        <w:t xml:space="preserve"> SG&amp;A expenses declined meaningfully quarter-over-quarter to $3.47 billion from an estimated $4.20 billion in Q4 2025. This 17.3% reduction was a major contributor to operating income improvement and may reflect lower marketing spend or other discretionary cost controls. However, Q1 2026 SG&amp;A was $158 million (4.4%) above the FY 2025 quarterly average of $3.63 billion.</w:t>
      </w:r>
    </w:p>
    <w:p/>
    <w:p>
      <w:r>
        <w:rPr>
          <w:b/>
        </w:rPr>
        <w:t>Operating Income:</w:t>
      </w:r>
      <w:r>
        <w:rPr>
          <w:b w:val="0"/>
        </w:rPr>
        <w:t xml:space="preserve"> The combined effect of robust revenue growth, controlled COGS, and sharply lower SG&amp;A expenses resulted in a substantial increase in operating income. Q1 2026 operating income of $4.36 billion was $2.52 billion (136.8%) higher than the estimated Q4 2025 operating income of $1.84 billion. It also exceeded the FY 2025 run-rate by $918 million (26.7%), lifting the operating margin to 34.9%.</w:t>
      </w:r>
    </w:p>
    <w:p/>
    <w:p>
      <w:r>
        <w:rPr>
          <w:b/>
        </w:rPr>
        <w:t>Net Income:</w:t>
      </w:r>
      <w:r>
        <w:rPr>
          <w:b w:val="0"/>
        </w:rPr>
        <w:t xml:space="preserve"> Net income followed a similar, albeit less pronounced, trajectory. Q1 2026 net income of $3.92 billion grew by $1.65 billion (72.8%) over the Q4 2025 estimate of $2.27 billion (FY25 $13.11B minus Q3 YTD $10.84B). Compared to the FY 2025 quarterly average of $3.28 billion, it increased by $647 million (19.7%). The net margin was 31.5% in Q1 2026.</w:t>
      </w:r>
    </w:p>
    <w:p>
      <w:pPr>
        <w:pStyle w:val="Heading2"/>
      </w:pPr>
      <w:r>
        <w:t>Profitability Margin Trend Analysis</w:t>
      </w:r>
    </w:p>
    <w:p>
      <w:r>
        <w:rPr>
          <w:b w:val="0"/>
        </w:rPr>
        <w:t>Analyzing margin trends provides deeper insight into the quality of earnings. The table below presents key profitability margins for the periods in question.</w:t>
      </w:r>
    </w:p>
    <w:p/>
    <w:p>
      <w:r>
        <w:rPr>
          <w:b/>
        </w:rPr>
        <w:t>Profitability Margins</w:t>
      </w:r>
    </w:p>
    <w:p/>
    <w:p>
      <w:r>
        <w:rPr>
          <w:b w:val="0"/>
        </w:rPr>
        <w:t>| Margin          | Q1 2026 | Q4 2025 (Est.) | FY 2025 |</w:t>
      </w:r>
    </w:p>
    <w:p>
      <w:r>
        <w:rPr>
          <w:b w:val="0"/>
        </w:rPr>
        <w:t>|-----------------|---------|----------------|---------|</w:t>
      </w:r>
    </w:p>
    <w:p>
      <w:r>
        <w:rPr>
          <w:b w:val="0"/>
        </w:rPr>
        <w:t>| Gross Margin    | 62.9%   | 58.1%          | 61.6%   |</w:t>
      </w:r>
    </w:p>
    <w:p>
      <w:r>
        <w:rPr>
          <w:b w:val="0"/>
        </w:rPr>
        <w:t>| Operating Margin| 34.9%   | 16.3%          | 28.7%   |</w:t>
      </w:r>
    </w:p>
    <w:p>
      <w:r>
        <w:rPr>
          <w:b w:val="0"/>
        </w:rPr>
        <w:t>| Net Margin      | 31.5%   | 20.1%          | 27.3%   |</w:t>
      </w:r>
    </w:p>
    <w:p/>
    <w:p>
      <w:r>
        <w:rPr>
          <w:b w:val="0"/>
        </w:rPr>
        <w:t>The sequential improvement in all margins is striking, particularly the operating margin which nearly doubled. This is directly attributable to the favorable operating leverage: revenue grew while SG&amp;A expenses contracted sharply on a quarterly basis. The gross margin improvement, while more modest, indicates stable or improving input costs and pricing power. Compared to the full-year 2025 averages, Q1 2026 margins are significantly higher across the board, suggesting a strong start to the year from a profitability perspective. The increase in SG&amp;A relative to the annual run-rate is noted but did not materially impair the strong operating leverage demonstrated in the quarter.</w:t>
      </w:r>
    </w:p>
    <w:p>
      <w:pPr>
        <w:pStyle w:val="Heading1"/>
      </w:pPr>
      <w:r>
        <w:t>Conclusion and Portfolio Implications</w:t>
      </w:r>
    </w:p>
    <w:p>
      <w:r>
        <w:rPr>
          <w:b w:val="0"/>
        </w:rPr>
        <w:t>Coca-Cola's Q1 2026 results demonstrate a significant positive variance versus both the prior quarter and the annual run-rate. The primary drivers were robust top-line growth exceeding the FY 2025 pace, coupled with disciplined cost control that led to substantial operating leverage and margin expansion. The decline in SG&amp;A expenses quarter-over-quarter was a major factor in the profitability surge.</w:t>
      </w:r>
    </w:p>
    <w:p/>
    <w:p>
      <w:r>
        <w:rPr>
          <w:b w:val="0"/>
        </w:rPr>
        <w:t>From a portfolio perspective, these results are encouraging. The company showed it can grow revenue while managing costs, a key attribute for a mature consumer staples company. The strong start to 2026, with revenue and operating income well above their respective 2025 run-rates, supports a constructive view on the stock for the consumer staples sleeve. Balance sheet health remains sound; as of Q1 2026, total assets were $104.22 billion, stockholders equity stood at $33.63 billion, and cash and equivalents were $10.57 billion, all stable relative to year-end 2025. Diluted EPS of $1.00 for the quarter is consistent with the strong net income performance. The analyst will continue to monitor SG&amp;A trends and revenue sustainability in the coming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