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 - FCC v. Consumers Research</w:t>
      </w:r>
    </w:p>
    <w:p>
      <w:r>
        <w:rPr>
          <w:b/>
        </w:rPr>
        <w:t>TO:</w:t>
        <w:tab/>
      </w:r>
      <w:r>
        <w:t>Telecommunications Practice Group Partners</w:t>
      </w:r>
    </w:p>
    <w:p>
      <w:r>
        <w:rPr>
          <w:b/>
        </w:rPr>
        <w:t>FROM:</w:t>
        <w:tab/>
      </w:r>
      <w:r>
        <w:t>[Associate Name]</w:t>
      </w:r>
    </w:p>
    <w:p>
      <w:r>
        <w:rPr>
          <w:b/>
        </w:rPr>
        <w:t>DATE:</w:t>
        <w:tab/>
      </w:r>
      <w:r>
        <w:t>[Current Date]</w:t>
      </w:r>
    </w:p>
    <w:p>
      <w:r>
        <w:rPr>
          <w:b/>
        </w:rPr>
        <w:t>RE:</w:t>
        <w:tab/>
      </w:r>
      <w:r>
        <w:t>Legal Analysis: FCC v. Consumers' Research, 606 U.S. 656 (2025) - Constitutionality of Universal Service Fund</w:t>
      </w:r>
    </w:p>
    <w:p>
      <w:r>
        <w:rPr>
          <w:b/>
        </w:rPr>
        <w:t>CC:</w:t>
        <w:tab/>
      </w:r>
      <w:r>
        <w:t>File</w:t>
      </w:r>
    </w:p>
    <w:p>
      <w:r>
        <w:t>________________________________________________________________________________</w:t>
      </w:r>
    </w:p>
    <w:p>
      <w:pPr>
        <w:pStyle w:val="Heading1"/>
      </w:pPr>
      <w:r>
        <w:t>MEMORANDUM</w:t>
      </w:r>
    </w:p>
    <w:p>
      <w:pPr>
        <w:pStyle w:val="Heading2"/>
      </w:pPr>
      <w:r>
        <w:t>Question Presented</w:t>
      </w:r>
    </w:p>
    <w:p>
      <w:r>
        <w:rPr>
          <w:b w:val="0"/>
        </w:rPr>
        <w:t>Whether the framework established by Section 254 of the Communications Act of 1934, as amended, for the collection of contributions to and disbursements from the Universal Service Fund, as administered by the Federal Communications Commission, violates the nondelegation doctrine or other constitutional principles by granting excessive discretion to the Commission.</w:t>
      </w:r>
    </w:p>
    <w:p>
      <w:pPr>
        <w:pStyle w:val="Heading2"/>
      </w:pPr>
      <w:r>
        <w:t>Short Answer</w:t>
      </w:r>
    </w:p>
    <w:p>
      <w:r>
        <w:rPr>
          <w:b w:val="0"/>
        </w:rPr>
        <w:t>No. The Supreme Court held that the statutory framework for the Universal Service Fund does not violate the nondelegation doctrine or constitute an unconstitutional delegation of legislative authority.</w:t>
      </w:r>
    </w:p>
    <w:p>
      <w:pPr>
        <w:pStyle w:val="Heading2"/>
      </w:pPr>
      <w:r>
        <w:t>Background</w:t>
      </w:r>
    </w:p>
    <w:p>
      <w:r>
        <w:rPr>
          <w:b w:val="0"/>
        </w:rPr>
        <w:t>The Communications Act of 1934 established the Federal Communications Commission (FCC or Commission) and instructed it to make available to "all the people of the United States" reliable communications services "at reasonable charges." 47 U.S.C. § 151. This objective is known as "universal service." The universal-service project arose from the concern that pure market mechanisms would leave some population segments—such as the poor and those in rural areas—without access to needed communications services.</w:t>
      </w:r>
    </w:p>
    <w:p>
      <w:r>
        <w:rPr>
          <w:b w:val="0"/>
        </w:rPr>
        <w:t>Under the original 1934 Act, the FCC pursued universal service primarily through implicit subsidies, using its rate-regulation authority to lower costs for some consumers at the expense of others.</w:t>
      </w:r>
    </w:p>
    <w:p>
      <w:r>
        <w:rPr>
          <w:b w:val="0"/>
        </w:rPr>
        <w:t>In 1996, Congress amended the Act and created a new, explicit framework for achieving universal service. Section 254 of the amended statute requires every carrier providing interstate telecommunications services to "contribute" to a fund, known as the Universal Service Fund. See § 254(d). The FCC must use the money in the Fund to pay for universal-service subsidy programs. See §§ 254(a), (d), (e).</w:t>
      </w:r>
    </w:p>
    <w:p>
      <w:r>
        <w:rPr>
          <w:b w:val="0"/>
        </w:rPr>
        <w:t>The statute designates the beneficiaries of universal-service subsidies: low-income consumers, those in rural areas, schools and libraries, and rural hospitals. §§ 254(d)(1)(A)-(C), (e).</w:t>
      </w:r>
    </w:p>
    <w:p>
      <w:pPr>
        <w:pStyle w:val="Heading2"/>
      </w:pPr>
      <w:r>
        <w:t>Analysis</w:t>
      </w:r>
    </w:p>
    <w:p>
      <w:r>
        <w:rPr>
          <w:b w:val="0"/>
        </w:rPr>
        <w:t>The Court's analysis focused on whether the statutory framework for the Universal Service Fund impermissibly delegates legislative power. The syllabus indicates the Court upheld the framework against this challenge. The Court likely applied the "intelligible principle" test, under which a congressional delegation is constitutional if Congress provides an "intelligible principle" to guide the executive entity—in this case, the FCC—in exercising the delegated authority.</w:t>
      </w:r>
    </w:p>
    <w:p>
      <w:r>
        <w:rPr>
          <w:b w:val="0"/>
        </w:rPr>
        <w:t>Here, Congress provided clear guidance through the statute. The Act's stated objective, as articulated in § 151, is to provide communications services to all people at reasonable charges. This overarching goal, combined with the specific directives in § 254 regarding the categories of beneficiaries and the duty to contribute, provides the FCC with sufficient boundaries to administer the Fund constitutionally. The Court's holding confirms that the FCC's administration of contribution and disbursement mechanisms falls within the permissible scope of congressional delegation.</w:t>
      </w:r>
    </w:p>
    <w:p>
      <w:r>
        <w:rPr>
          <w:b w:val="0"/>
        </w:rPr>
        <w:t>The syllabus's emphasis on the statutory detail—naming the specific beneficiary categories and imposing mandatory contribution duties—supports the conclusion that Congress did not simply hand off its legislative authority to the FCC. Instead, Congress made the fundamental policy choices and charged the FCC with implementing them. This satisfies the nondelegation doctrine's requirement for an intelligible principle.</w:t>
      </w:r>
    </w:p>
    <w:p>
      <w:pPr>
        <w:pStyle w:val="Heading2"/>
      </w:pPr>
      <w:r>
        <w:t>Conclusion and Implications</w:t>
      </w:r>
    </w:p>
    <w:p>
      <w:r>
        <w:rPr>
          <w:b w:val="0"/>
        </w:rPr>
        <w:t>The Supreme Court's decision in FCC v. Consumers' Research, 606 U.S. 656 (2025), affirms the constitutionality of the Universal Service Fund's statutory framework. The holding secures the FCC's authority to administer the Fund and ensures the continued operation of universal-service subsidy programs.</w:t>
      </w:r>
    </w:p>
    <w:p>
      <w:r>
        <w:rPr>
          <w:b w:val="0"/>
        </w:rPr>
        <w:t>For clients, including regional carriers and technology companies providing interstate telecommunications services, this ruling means their obligation to contribute to the USF under § 254(d) remains firmly in place. Clients must continue to budget for and remit these contributions as part of their regulatory compliance.</w:t>
      </w:r>
    </w:p>
    <w:p>
      <w:r>
        <w:rPr>
          <w:b w:val="0"/>
        </w:rPr>
        <w:t>Strategically, clients should monitor any further FCC rulemaking or guidance that may follow from this decision. While the foundational framework is upheld, the FCC may issue new orders or rules regarding contribution calculations, eligible services, or beneficiary programs. Clients should also be aware that while the nondelegation challenge has been rejected, other procedural or substantive challenges to specific FCC actions under the USF may still be pursued.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