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 - People v. Curiel and SB 1437 Relief</w:t>
      </w:r>
    </w:p>
    <w:p>
      <w:r>
        <w:rPr>
          <w:b/>
        </w:rPr>
        <w:t>TO:</w:t>
        <w:tab/>
      </w:r>
      <w:r>
        <w:t>Supervising Attorney, Appellate Litigation Division</w:t>
      </w:r>
    </w:p>
    <w:p>
      <w:r>
        <w:rPr>
          <w:b/>
        </w:rPr>
        <w:t>FROM:</w:t>
        <w:tab/>
      </w:r>
      <w:r>
        <w:t>Senior Associate</w:t>
      </w:r>
    </w:p>
    <w:p>
      <w:r>
        <w:rPr>
          <w:b/>
        </w:rPr>
        <w:t>DATE:</w:t>
        <w:tab/>
      </w:r>
      <w:r>
        <w:t>2023-12-01</w:t>
      </w:r>
    </w:p>
    <w:p>
      <w:r>
        <w:rPr>
          <w:b/>
        </w:rPr>
        <w:t>RE:</w:t>
        <w:tab/>
      </w:r>
      <w:r>
        <w:t>People v. Curiel (2023) 315 Cal.Rptr.3d 495; Retroactive Resentencing Eligibility Under Penal Code Section 1172.6</w:t>
      </w:r>
    </w:p>
    <w:p>
      <w:r>
        <w:t>________________________________________________________________________________</w:t>
      </w:r>
    </w:p>
    <w:p>
      <w:pPr>
        <w:pStyle w:val="Heading2"/>
      </w:pPr>
      <w:r>
        <w:t>Question Presented</w:t>
      </w:r>
    </w:p>
    <w:p>
      <w:r>
        <w:rPr>
          <w:b w:val="0"/>
        </w:rPr>
        <w:t>Whether a defendant convicted of first degree murder under the natural and probable consequences doctrine, along with gang-murder special circumstance and criminal street gang enhancements, is entitled to retroactive resentencing relief under Penal Code section 1172.6 following the enactment of Senate Bill No. 1437.</w:t>
      </w:r>
    </w:p>
    <w:p>
      <w:pPr>
        <w:pStyle w:val="Heading2"/>
      </w:pPr>
      <w:r>
        <w:t>Short Answer</w:t>
      </w:r>
    </w:p>
    <w:p>
      <w:r>
        <w:rPr>
          <w:b w:val="0"/>
        </w:rPr>
        <w:t>The California Supreme Court in People v. Curiel addressed the retroactive application of Senate Bill 1437 to a defendant convicted in 2006. The Court's opinion clarifies the procedural pathway and substantive eligibility for resentencing under the amended law, which narrowed accomplice liability by barring the natural and probable consequences doctrine for murder. Attorneys handling similar petitions should focus on the specific statutory changes enacted by SB 1437 and the defendant's original conviction basis.</w:t>
      </w:r>
    </w:p>
    <w:p>
      <w:pPr>
        <w:pStyle w:val="Heading2"/>
      </w:pPr>
      <w:r>
        <w:t>Statement of Facts</w:t>
      </w:r>
    </w:p>
    <w:p>
      <w:r>
        <w:rPr>
          <w:b w:val="0"/>
        </w:rPr>
        <w:t>In 2006, a jury convicted Freddy Alfredo Curiel of first degree murder under Penal Code section 187, subdivision (a). The jury also found true the gang-murder special circumstance allegation under section 190.2, subdivision (a)(22), the criminal street gang sentencing enhancement under section 186.22, subdivision (b)(1), and two firearm enhancements under section 12022.53, subdivisions (d) and (e). Additionally, Curiel was convicted of active participation in a criminal street gang under section 186.22, subdivision (a).</w:t>
      </w:r>
    </w:p>
    <w:p>
      <w:r>
        <w:rPr>
          <w:b w:val="0"/>
        </w:rPr>
        <w:t>The trial court sentenced Curiel to life imprisonment without the possibility of parole, consecutive to an indeterminate term of 25 years to life in prison.</w:t>
      </w:r>
    </w:p>
    <w:p>
      <w:r>
        <w:rPr>
          <w:b w:val="0"/>
        </w:rPr>
        <w:t>Twelve years later, in 2018, the California Legislature enacted Senate Bill No. 1437 (2017-2018 Reg. Sess.) (Stats. 2018, ch. 1015). This legislation narrowed or eliminated certain forms of accomplice liability for murder. Specifically, Senate Bill 1437 barred the use of the natural and probable consequences doctrine to obtain a murder conviction, as recognized in People v. Gentile (2020) 10 Cal.5th 830, 851. The bill also created a procedure for convicted murderers who could not be convicted under the law as amended to retroactively seek relief, as described in People v. Lewis (2021) 11 Cal.5th 952, 957.</w:t>
      </w:r>
    </w:p>
    <w:p>
      <w:r>
        <w:rPr>
          <w:b w:val="0"/>
        </w:rPr>
        <w:t>Curiel petitioned for relief and resentencing under this new procedure pursuant to former section 1170.95, subdivision (a), now section 1172.6, subdivision (a). He alleged, among other things, that he had been convicted of first degree murder.</w:t>
      </w:r>
    </w:p>
    <w:p>
      <w:pPr>
        <w:pStyle w:val="Heading2"/>
      </w:pPr>
      <w:r>
        <w:t>Discussion</w:t>
      </w:r>
    </w:p>
    <w:p>
      <w:r>
        <w:rPr>
          <w:b w:val="0"/>
        </w:rPr>
        <w:t>Senate Bill 1437 represents a significant shift in California murder law. As the Supreme Court explained in People v. Gentile, the legislation "barred the use of the natural and probable consequences doctrine to obtain a murder conviction." (People v. Gentile (2020) 10 Cal.5th 830, 851.) This doctrine previously allowed prosecutors to hold an accomplice liable for murder even if the accomplice did not personally harbor malice aforethought, so long as the murder was a natural and probable consequence of the underlying felony the accomplice intended to facilitate.</w:t>
      </w:r>
    </w:p>
    <w:p>
      <w:r>
        <w:rPr>
          <w:b w:val="0"/>
        </w:rPr>
        <w:t>Beyond its substantive changes, Senate Bill 1437 established a procedural mechanism for retroactive relief. As noted in People v. Lewis, the Legislature created "a procedure for convicted murderers who could not be convicted under the law as amended to retroactively seek relief." (People v. Lewis (2021) 11 Cal.5th 952, 957.) This procedure is now codified at Penal Code section 1172.6 (formerly section 1170.95). The statute permits individuals convicted of murder to petition for resentencing if they could not have been convicted under the law as amended by SB 1437.</w:t>
      </w:r>
    </w:p>
    <w:p>
      <w:r>
        <w:rPr>
          <w:b w:val="0"/>
        </w:rPr>
        <w:t>In Curiel's case, the defendant was convicted in 2006 of first degree murder, with the jury also finding true the gang-murder special circumstance (section 190.2, subdivision (a)(22)), the criminal street gang enhancement (section 186.22, subdivision (b)(1)), two firearm enhancements (section 12022.53, subdivisions (d) and (e)), and active participation in a criminal street gang (section 186.22, subdivision (a)). The trial court imposed a sentence of life without parole plus 25 years to life. Curiel subsequently petitioned for relief under the new SB 1437 procedure.</w:t>
      </w:r>
    </w:p>
    <w:p>
      <w:r>
        <w:rPr>
          <w:b w:val="0"/>
        </w:rPr>
        <w:t>The Supreme Court's opinion in Curiel addresses the application of the retroactive relief procedure to such convictions. The Court's analysis focuses on whether the defendant's original conviction and enhancements qualify for relief under section 1172.6. The holding provides guidance on how courts should evaluate petitions from defendants convicted with gang-related enhancements and special circumstances when seeking resentencing under SB 1437's narrowed accomplice liability framework.</w:t>
      </w:r>
    </w:p>
    <w:p>
      <w:pPr>
        <w:pStyle w:val="Heading2"/>
      </w:pPr>
      <w:r>
        <w:t>Practical Guidance</w:t>
      </w:r>
    </w:p>
    <w:p>
      <w:r>
        <w:rPr>
          <w:b w:val="0"/>
        </w:rPr>
        <w:t>1. Scrutinize the Original Conviction Basis: Before filing a petition under section 1172.6, carefully review the original trial record to determine whether the murder conviction was based on the natural and probable consequences doctrine. If so, this is the strongest basis for relief under SB 1437, as the doctrine is now barred for murder convictions. Curiel's petition alleged he was convicted of first degree murder, suggesting his conviction may have relied on accomplice liability theories now prohibited.</w:t>
      </w:r>
    </w:p>
    <w:p>
      <w:r>
        <w:rPr>
          <w:b w:val="0"/>
        </w:rPr>
        <w:t>2. Document the Specific Enhancements and Special Circumstances: The Curiel opinion highlights that defendants often face multiple enhancements and special circumstances. Attorneys should itemize all findings including the gang-murder special circumstance under section 190.2, subdivision (a)(22), the criminal street gang enhancement under section 186.22, subdivision (b)(1), firearm enhancements under section 12022.53, subdivisions (d) and (e), and active gang participation under section 186.22, subdivision (a), and analyze how SB 1437 affects each. Some enhancements may be subject to resentencing discretion even if the murder conviction stands.</w:t>
      </w:r>
    </w:p>
    <w:p>
      <w:r>
        <w:rPr>
          <w:b w:val="0"/>
        </w:rPr>
        <w:t>3. Cite the Proper Statutory and Decisional Authority: Use the current statutory citation of Penal Code section 1172.6, subdivision (a) rather than the former section 1170.95. Cite People v. Gentile (2020) 10 Cal.5th 830 for the proposition that SB 1437 barred the natural and probable consequences doctrine, and People v. Lewis (2021) 11 Cal.5th 952 for the retroactive relief procedure. Accurate citation demonstrates mastery of the evolving statutory framework and persuasive case law.</w:t>
      </w:r>
    </w:p>
    <w:p>
      <w:pPr>
        <w:pStyle w:val="Heading2"/>
      </w:pPr>
      <w:r>
        <w:t>Conclusion</w:t>
      </w:r>
    </w:p>
    <w:p>
      <w:r>
        <w:rPr>
          <w:b w:val="0"/>
        </w:rPr>
        <w:t>People v. Curiel provides important guidance for attorneys seeking retroactive resentencing for clients convicted of murder with gang-related enhancements. The opinion underscores the significance of Senate Bill 1437's elimination of the natural and probable consequences doctrine and its creation of a retroactive relief procedure. Attorneys should carefully examine the basis for the original murder conviction, document all enhancements and special circumstances, and cite the proper statutory authority under section 1172.6 along with supporting case law including People v. Gentile and People v. Lewis when filing petitions. The Curiel decision reinforces that the door remains open for eligible defendants to seek resentencing under the amended law.</w:t>
      </w:r>
    </w:p>
    <w:p/>
    <w:p>
      <w:r>
        <w:t>Senior Associate, Appellate Litigation Division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