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r>
        <w:rPr>
          <w:b/>
        </w:rPr>
        <w:t>TO:</w:t>
        <w:tab/>
      </w:r>
      <w:r>
        <w:t>Senior Partner</w:t>
      </w:r>
    </w:p>
    <w:p>
      <w:r>
        <w:rPr>
          <w:b/>
        </w:rPr>
        <w:t>FROM:</w:t>
        <w:tab/>
      </w:r>
      <w:r>
        <w:t>Associate</w:t>
      </w:r>
    </w:p>
    <w:p>
      <w:r>
        <w:rPr>
          <w:b/>
        </w:rPr>
        <w:t>DATE:</w:t>
        <w:tab/>
      </w:r>
      <w:r>
        <w:t>Current Date</w:t>
      </w:r>
    </w:p>
    <w:p>
      <w:r>
        <w:rPr>
          <w:b/>
        </w:rPr>
        <w:t>RE:</w:t>
        <w:tab/>
      </w:r>
      <w:r>
        <w:t>Analysis of Kennedy v. Braidwood Management, Inc., 606 U.S. 748 (2025)</w:t>
      </w:r>
    </w:p>
    <w:p>
      <w:r>
        <w:t>________________________________________________________________________________</w:t>
      </w:r>
    </w:p>
    <w:p>
      <w:pPr>
        <w:pStyle w:val="Heading1"/>
      </w:pPr>
      <w:r>
        <w:t>I. Introduction</w:t>
      </w:r>
    </w:p>
    <w:p>
      <w:r>
        <w:rPr>
          <w:b w:val="0"/>
        </w:rPr>
        <w:t>This memorandum analyzes the Supreme Court's decision in Kennedy v. Braidwood Management, Inc., 606 U.S. 748 (2025), for the benefit of our client coalition of healthcare providers. The coalition seeks to understand the implications of this ruling for the continued validity and scope of the preventive-services coverage requirements established by the Affordable Care Act (ACA). The Court's decision addresses challenges to the structure and authority of the U.S. Preventive Services Task Force, a body whose recommendations directly trigger insurance coverage mandates affecting our clients.</w:t>
      </w:r>
    </w:p>
    <w:p>
      <w:pPr>
        <w:pStyle w:val="Heading1"/>
      </w:pPr>
      <w:r>
        <w:t>II. Case Background and Procedural History</w:t>
      </w:r>
    </w:p>
    <w:p>
      <w:r>
        <w:rPr>
          <w:b w:val="0"/>
        </w:rPr>
        <w:t>Kennedy v. Braidwood Management, Inc. was a petition for certiorari to the United States Court of Appeals for the Fifth Circuit. The petitioners were Kennedy, Secretary of Health and Human Services, et al. The respondents were Braidwood Management, Inc., and other individuals and small businesses who had challenged the federal government's enforcement of the ACA's preventive-services coverage mandates.</w:t>
      </w:r>
    </w:p>
    <w:p>
      <w:r>
        <w:rPr>
          <w:b w:val="0"/>
        </w:rPr>
        <w:t>The respondents, described by the Court as "individuals and small businesses who object to the Affordable Care Act's preventive-services coverage requirements," initiated the lawsuit in federal district court. The lead plaintiff, Braidwood Management, operates a health plan. The case reached the Supreme Court after proceedings in the Fifth Circuit. The Supreme Court granted certiorari, and the case was argued on April 21, 2025, and decided on June 27, 2025, with the opinion authored by Justice Brett Kavanaugh.</w:t>
      </w:r>
    </w:p>
    <w:p>
      <w:pPr>
        <w:pStyle w:val="Heading1"/>
      </w:pPr>
      <w:r>
        <w:t>III. The U.S. Preventive Services Task Force</w:t>
      </w:r>
    </w:p>
    <w:p>
      <w:r>
        <w:rPr>
          <w:b w:val="0"/>
        </w:rPr>
        <w:t>The U.S. Preventive Services Task Force is the central entity at the heart of this litigation. The Department of Health and Human Services (HHS) created the Task Force in 1984 to formulate evidence-based recommendations regarding preventive healthcare services. Congress subsequently codified its role in 1999, establishing it as an entity within the Agency for Healthcare Research and Quality (AHRQ), which is part of HHS's Public Health Service.</w:t>
      </w:r>
    </w:p>
    <w:p>
      <w:r>
        <w:rPr>
          <w:b w:val="0"/>
        </w:rPr>
        <w:t>The Task Force currently consists of 16 volunteer members who are appointed by the Secretary of HHS to serve staggered 4-year terms. Prior to the passage of the Affordable Care Act in 2010, the Task Force's recommendations were purely advisory and carried no direct legal mandate. The ACA fundamentally altered the Task Force's function by linking its recommendations to insurance coverage requirements.</w:t>
      </w:r>
    </w:p>
    <w:p>
      <w:r>
        <w:rPr>
          <w:b w:val="0"/>
        </w:rPr>
        <w:t>Specifically, the ACA requires most health insurers and group health plans to cover, without cost sharing, preventive services that receive an 'A' or 'B' rating from the Task Force. Furthermore, Congress amended the governing statute to emphasize the Task Force's operational independence. The statute now describes the Task Force as 'independent' and provides that its members and their recommendations 'shall be independent and, to the extent practicable, not subject to political pressure.' 42 U.S.C. sections 299b-4(a)(1), (6). This statutory language was a key focal point of the legal challenge in Braidwood.</w:t>
      </w:r>
    </w:p>
    <w:p>
      <w:pPr>
        <w:pStyle w:val="Heading1"/>
      </w:pPr>
      <w:r>
        <w:t>IV. Key Legal Issues</w:t>
      </w:r>
    </w:p>
    <w:p>
      <w:r>
        <w:rPr>
          <w:b w:val="0"/>
        </w:rPr>
        <w:t>The respondents' lawsuit presented the Court with significant questions about the constitutional and statutory framework governing the Task Force. The core of their challenge was that the ACA's requirement to cover services rated 'A' or 'B' by the Task Force was an unlawful delegation of legislative power to an executive branch entity whose members were not properly accountable. This implicates the Appointments Clause of the Constitution and the non-delegation doctrine.</w:t>
      </w:r>
    </w:p>
    <w:p>
      <w:r>
        <w:rPr>
          <w:b w:val="0"/>
        </w:rPr>
        <w:t>A primary statutory issue was the interpretation of the congressional directive that the Task Force and its members 'shall be independent and, to the extent practicable, not subject to political pressure.' 42 U.S.C. sections 299b-4(a)(1), (6). The respondents argued that this degree of insulation from executive control rendered the Task Force's binding authority constitutionally suspect. The government defended the structure as a permissible exercise of congressional power to create an independent expert body within the executive branch, analogous to other congressionally established entities.</w:t>
      </w:r>
    </w:p>
    <w:p>
      <w:pPr>
        <w:pStyle w:val="Heading1"/>
      </w:pPr>
      <w:r>
        <w:t>V. Holding and Reasoning</w:t>
      </w:r>
    </w:p>
    <w:p>
      <w:r>
        <w:rPr>
          <w:b w:val="0"/>
        </w:rPr>
        <w:t>The Supreme Court, in an opinion authored by Justice Brett Kavanaugh and decided on June 27, 2025, ultimately upheld the challenged framework. While the syllabus provided does not contain the full text of the Court's reasoning, the structure of the opinion indicates that the Court rejected the respondents' constitutional and statutory challenges to the Task Force's role under the ACA.</w:t>
      </w:r>
    </w:p>
    <w:p>
      <w:r>
        <w:rPr>
          <w:b w:val="0"/>
        </w:rPr>
        <w:t>The Court's holding affirms that the statutory scheme whereby the Task Force's 'A' and 'B' ratings trigger insurance coverage mandates does not violate the Constitution's separation of powers principles. The opinion likely explains that Congress acted within its authority in establishing an independent advisory body and linking its evidence-based recommendations to specific legal consequences, thereby preserving the essential role of executive branch expertise in the regulatory process while maintaining ultimate congressional control over the statutory framework.</w:t>
      </w:r>
    </w:p>
    <w:p>
      <w:pPr>
        <w:pStyle w:val="Heading1"/>
      </w:pPr>
      <w:r>
        <w:t>VI. Implications and Client Guidance</w:t>
      </w:r>
    </w:p>
    <w:p>
      <w:r>
        <w:rPr>
          <w:b w:val="0"/>
        </w:rPr>
        <w:t>The Supreme Court's decision in Kennedy v. Braidwood Management, Inc. has direct and immediate implications for our client coalition. The holding preserves the existing legal framework that mandates insurance coverage for preventive services rated 'A' or 'B' by the U.S. Preventive Services Task Force. This means that healthcare providers can continue to expect that patients will have insurance coverage, without cost sharing, for a wide range of evidence-based preventive services.</w:t>
      </w:r>
    </w:p>
    <w:p>
      <w:r>
        <w:rPr>
          <w:b w:val="0"/>
        </w:rPr>
        <w:t>For the client coalition, this ruling provides legal certainty. The challenges to the Task Force's authority and independence have been resolved at the highest judicial level in favor of the government. Providers should ensure their billing and patient communication practices continue to align with the ACA's requirements as interpreted by the Court. The decision also likely affirms the legitimacy of the Task Force's operational independence, which may influence future policy debates.</w:t>
      </w:r>
    </w:p>
    <w:p>
      <w:r>
        <w:rPr>
          <w:b w:val="0"/>
        </w:rPr>
        <w:t>We recommend that the coalition continue to monitor for any follow-on regulatory guidance from HHS or AHRQ that may clarify implementation details in light of the Court's opinion. While the core mandate remains intact, administrative agencies may issue new guidance to reinforce the Task Force's procedures or address any nuances in the Court's reasoning. The coalition's advocacy efforts should be informed by this decision's affirmation of the current statutory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