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Memorandum: Analysis of Mahmoud v. Taylor</w:t>
      </w:r>
    </w:p>
    <w:p>
      <w:r>
        <w:rPr>
          <w:b/>
        </w:rPr>
        <w:t>TO:</w:t>
        <w:tab/>
      </w:r>
      <w:r>
        <w:t>Managing Partner</w:t>
      </w:r>
    </w:p>
    <w:p>
      <w:r>
        <w:rPr>
          <w:b/>
        </w:rPr>
        <w:t>FROM:</w:t>
        <w:tab/>
      </w:r>
      <w:r>
        <w:t>Senior Associate</w:t>
      </w:r>
    </w:p>
    <w:p>
      <w:r>
        <w:rPr>
          <w:b/>
        </w:rPr>
        <w:t>DATE:</w:t>
        <w:tab/>
      </w:r>
      <w:r>
        <w:t>June 27, 2025</w:t>
      </w:r>
    </w:p>
    <w:p>
      <w:r>
        <w:rPr>
          <w:b/>
        </w:rPr>
        <w:t>RE:</w:t>
        <w:tab/>
      </w:r>
      <w:r>
        <w:t>Analysis of Mahmoud v. Taylor, 606 U.S. 522 (2025)</w:t>
      </w:r>
    </w:p>
    <w:p>
      <w:r>
        <w:t>________________________________________________________________________________</w:t>
      </w:r>
    </w:p>
    <w:p>
      <w:pPr>
        <w:pStyle w:val="Heading1"/>
      </w:pPr>
      <w:r>
        <w:t>Question Presented</w:t>
      </w:r>
    </w:p>
    <w:p>
      <w:r>
        <w:rPr>
          <w:b w:val="0"/>
        </w:rPr>
        <w:t>Whether the Montgomery County Board of Education's rescission of its parental opt-out policy for instruction involving LGBTQ+-inclusive storybooks violated the Free Exercise Clause of the First Amendment, where parents held sincere religious beliefs opposed to such instruction and the Board's initial policy had provided reasonable accommodations.</w:t>
      </w:r>
    </w:p>
    <w:p>
      <w:pPr>
        <w:pStyle w:val="Heading1"/>
      </w:pPr>
      <w:r>
        <w:t>Short Answer</w:t>
      </w:r>
    </w:p>
    <w:p>
      <w:r>
        <w:rPr>
          <w:b w:val="0"/>
        </w:rPr>
        <w:t>Yes. The Supreme Court held that the Board's rescission of the opt-out policy violated the parents' rights under the Free Exercise Clause. The Court applied strict scrutiny, finding that the Board's policy imposed a substantial burden on the parents' sincere religious exercise without a compelling governmental interest that was narrowly tailored to achieve that interest.</w:t>
      </w:r>
    </w:p>
    <w:p>
      <w:pPr>
        <w:pStyle w:val="Heading1"/>
      </w:pPr>
      <w:r>
        <w:t>Statement of Facts</w:t>
      </w:r>
    </w:p>
    <w:p>
      <w:r>
        <w:rPr>
          <w:b w:val="0"/>
        </w:rPr>
        <w:t>During the 2022-2023 school year, the Montgomery County Board of Education introduced a variety of LGBTQ+-inclusive texts into the public school curriculum. These texts included five LGBTQ+-inclusive storybooks approved for students in kindergarten through fifth grade, which have story lines focused on sexuality and gender.</w:t>
      </w:r>
    </w:p>
    <w:p>
      <w:r>
        <w:rPr>
          <w:b w:val="0"/>
        </w:rPr>
        <w:t>When parents in Montgomery County sought to have their children excused from instruction involving those books, the Board initially compromised with the parents by notifying them when the LGBTQ+-inclusive storybooks would be taught and permitting their children to be excused from the instruction. This compromise was consistent with the Board's "Guidelines for Respecting Religious Diversity," which professed a commitment to making "reasonable accommodations" for the religious "beliefs and practices" of students.</w:t>
      </w:r>
    </w:p>
    <w:p>
      <w:r>
        <w:rPr>
          <w:b w:val="0"/>
        </w:rPr>
        <w:t>Less than a year after the Board introduced the books, however, it rescinded the parental opt out policy. Among other things, the Board said that it "could not accommodate the growing number of opt out requests without causing significant disruptions to the classroom environment."</w:t>
      </w:r>
    </w:p>
    <w:p>
      <w:r>
        <w:rPr>
          <w:b w:val="0"/>
        </w:rPr>
        <w:t>The petitioners are a group of individual parents and an unincorporated association of other interested parties. The individual parents come from diverse religious backgrounds and hold sincere religious beliefs opposed to the instruction involving the LGBTQ+-inclusive storybooks.</w:t>
      </w:r>
    </w:p>
    <w:p>
      <w:pPr>
        <w:pStyle w:val="Heading1"/>
      </w:pPr>
      <w:r>
        <w:t>Discussion</w:t>
      </w:r>
    </w:p>
    <w:p>
      <w:r>
        <w:rPr>
          <w:b w:val="0"/>
        </w:rPr>
        <w:t>The Court's analysis centered on the Free Exercise Clause of the First Amendment. The syllabus indicates that the Court applied strict scrutiny to the Board's rescission of the opt-out policy. Under this standard, a government action that imposes a substantial burden on religious exercise must be justified by a compelling governmental interest and must be narrowly tailored to achieve that interest.</w:t>
      </w:r>
    </w:p>
    <w:p>
      <w:r>
        <w:rPr>
          <w:b w:val="0"/>
        </w:rPr>
        <w:t>The Court found that the Board's policy imposed a substantial burden on the parents' sincere religious exercise. The syllabus notes that the parents come from diverse religious backgrounds and hold sincere beliefs opposed to the instruction involving the LGBTQ+-inclusive storybooks. The rescission of the opt-out policy forced parents to choose between complying with the school's curriculum and adhering to their religious beliefs, which constitutes a substantial burden.</w:t>
      </w:r>
    </w:p>
    <w:p>
      <w:r>
        <w:rPr>
          <w:b w:val="0"/>
        </w:rPr>
        <w:t>The Court then evaluated the Board's stated interest in avoiding significant disruptions to the classroom environment. The Court found that this interest, while legitimate, did not rise to the level of a compelling governmental interest sufficient to justify the substantial burden on religious exercise. The Court noted that the Board had initially accommodated the parents with a compromise that included notification and opt-out provisions, suggesting that less restrictive means existed.</w:t>
      </w:r>
    </w:p>
    <w:p>
      <w:r>
        <w:rPr>
          <w:b w:val="0"/>
        </w:rPr>
        <w:t>Finally, the Court assessed whether the Board's policy was narrowly tailored. The Court concluded that the rescission of the opt-out policy was not narrowly tailored because the Board had previously implemented a less restrictive alternative-the initial compromise with notification and opt-outs-that achieved its administrative goals without burdening religious exercise. The existence of this prior, less restrictive policy demonstrated that the Board's complete rescission was not the least restrictive means of addressing its concerns about classroom disruption.</w:t>
      </w:r>
    </w:p>
    <w:p>
      <w:pPr>
        <w:pStyle w:val="Heading1"/>
      </w:pPr>
      <w:r>
        <w:t>Conclusion</w:t>
      </w:r>
    </w:p>
    <w:p>
      <w:r>
        <w:rPr>
          <w:b w:val="0"/>
        </w:rPr>
        <w:t>The Supreme Court held that the Montgomery County Board of Education's rescission of its parental opt-out policy violated the Free Exercise Clause. The Board's policy imposed a substantial burden on the parents' sincere religious exercise without a compelling interest that was narrowly tailored. The judgment of the Fourth Circuit is reversed.</w:t>
      </w:r>
    </w:p>
    <w:p>
      <w:pPr>
        <w:pStyle w:val="Heading1"/>
      </w:pPr>
      <w:r>
        <w:t>Recommendations</w:t>
      </w:r>
    </w:p>
    <w:p>
      <w:r>
        <w:rPr>
          <w:b w:val="0"/>
        </w:rPr>
        <w:t>For School Administrators: 1) School districts should review and update their religious accommodation policies to ensure they provide clear, consistent opt-out procedures for curriculum content that conflicts with sincerely held religious beliefs. 2) Districts should consult with legal counsel before rescinding any existing accommodation policies to assess potential Free Exercise Clause challenges. 3) Districts should maintain detailed records of the administrative burden and any actual classroom disruptions caused by accommodation requests to support any future policy changes.</w:t>
      </w:r>
    </w:p>
    <w:p>
      <w:r>
        <w:rPr>
          <w:b w:val="0"/>
        </w:rPr>
        <w:t>For Parent and Religious Advocacy Groups: 1) Parents should document their sincere religious beliefs in writing and communicate accommodation requests promptly and formally to school administrators. 2) Parent groups should organize to monitor school curriculum changes and advocate for the preservation of opt-out policies at the school board level. 3) Advocacy groups should prepare to litigate promptly if a school district rescinds a religious accommodation policy without demonstrating a compelling interest and narrow tailoring.</w:t>
      </w:r>
    </w:p>
    <w:p>
      <w:r>
        <w:rPr>
          <w:b w:val="0"/>
        </w:rPr>
        <w:t>This decision establishes a significant precedent for Free Exercise Clause challenges in the public education context. It signals that the Supreme Court will apply strict scrutiny to government policies that burden religious exercise in curriculum decisions, and that administrative convenience alone is unlikely to constitute a compelling interest. School districts nationwide with similar opt-out or religious accommodation policies should assume that any rescission or limitation of such policies will face immediate legal challenge under this standard.</w:t>
      </w:r>
    </w:p>
    <w:p/>
    <w:p>
      <w:r>
        <w:t>Prepared by Senior Associate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