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Investment Committee Deck: CATERPILLAR INC</w:t>
      </w:r>
    </w:p>
    <w:p>
      <w:r>
        <w:rPr>
          <w:b/>
        </w:rPr>
        <w:t>TO:</w:t>
        <w:tab/>
      </w:r>
      <w:r>
        <w:t>Committee</w:t>
      </w:r>
    </w:p>
    <w:p>
      <w:r>
        <w:rPr>
          <w:b/>
        </w:rPr>
        <w:t>DATE:</w:t>
        <w:tab/>
      </w:r>
      <w:r>
        <w:t>2026-05-13</w:t>
      </w:r>
    </w:p>
    <w:p>
      <w:r>
        <w:rPr>
          <w:b/>
        </w:rPr>
        <w:t>RE:</w:t>
        <w:tab/>
      </w:r>
      <w:r>
        <w:t>Investment Committee Deck: CATERPILLAR INC</w:t>
      </w:r>
    </w:p>
    <w:p>
      <w:r>
        <w:t>________________________________________________________________________________</w:t>
      </w:r>
    </w:p>
    <w:p>
      <w:pPr>
        <w:pStyle w:val="Heading1"/>
      </w:pPr>
      <w:r>
        <w:t>Investment Thesis</w:t>
      </w:r>
    </w:p>
    <w:p>
      <w:r>
        <w:rPr>
          <w:b/>
        </w:rPr>
        <w:t>Investment Thesis: Caterpillar Inc. (CAT)</w:t>
      </w:r>
    </w:p>
    <w:p>
      <w:r>
        <w:rPr>
          <w:b w:val="0"/>
        </w:rPr>
        <w:t>Our investment thesis centers on Caterpillar's position as the unparalleled global leader in construction and mining equipment, coupled with a robust multi-year cyclical recovery and structural tailwinds. We believe CAT offers a compelling opportunity to gain exposure to the ongoing global infrastructure renewal and energy transition cycles. The company's dominant brand, extensive dealer network, and sophisticated product portfolio provide a durable competitive moat, enabling sustained market share and pricing power. This leadership is reflected in its strong financial health, demonstrated by a revenue base of $17415M and a manageable debt/EBITDA ratio of 1.6x, which is well within the parameters of its solid BBB+ credit rating. These factors provide resilience through cycles and capacity for strategic reinvestment.</w:t>
      </w:r>
    </w:p>
    <w:p>
      <w:r>
        <w:rPr>
          <w:b w:val="0"/>
        </w:rPr>
        <w:t>The core of the thesis rests on three key growth vectors: a rebound in non-residential construction, a sustained upcycle in mining capital expenditure driven by commodity demand, and the accelerating need for infrastructure investment globally, particularly in the United States and emerging markets. Furthermore, Caterpillar's accelerating pivot towards autonomous, electric, and hydrogen-powered equipment positions it at the forefront of the industry's technological transformation. This transition is not merely defensive; it represents a significant growth opportunity to upgrade customer fleets and create new revenue streams in services and technology. The company's operational excellence and focus on expanding services, which now constitute over 40% of revenue, further enhance margin stability and growth predictability.</w:t>
      </w:r>
    </w:p>
    <w:p>
      <w:r>
        <w:rPr>
          <w:b w:val="0"/>
        </w:rPr>
        <w:t>We initiate coverage with a 12-18 month price target that reflects a modest premium to the company's historical average valuation, justified by the favorable macro tailwinds and its strategic positioning. This target embeds an expected total return of approximately 15-20%, driven by a combination of mid-single-digit earnings growth, continued margin expansion, and shareholder returns through dividends and share repurchases. The company's strong cash flow generation supports this capital return strategy while maintaining balance sheet flexibility. We view any volatility tied to broader market concerns about economic cycles as an attractive entry point, given the company's proven ability to navigate downturns and emerge with stronger market position.</w:t>
      </w:r>
    </w:p>
    <w:p>
      <w:r>
        <w:rPr>
          <w:b w:val="0"/>
        </w:rPr>
        <w:t>In summary, Caterpillar represents a high-quality cyclical investment with a defensive core, making it a cornerstone holding for portfolios seeking industrial exposure. The alignment of its operational strengths with multi-decade secular trends in infrastructure and resource development provides a clear and compelling growth pathway, underpinning our confidence in achieving the targeted return.</w:t>
      </w:r>
    </w:p>
    <w:p>
      <w:pPr>
        <w:pStyle w:val="Heading1"/>
      </w:pPr>
      <w:r>
        <w:t>Company Overview</w:t>
      </w:r>
    </w:p>
    <w:p>
      <w:r>
        <w:rPr>
          <w:b/>
        </w:rPr>
        <w:t>Company Overview: Caterpillar Inc. (CAT)</w:t>
      </w:r>
    </w:p>
    <w:p>
      <w:r>
        <w:rPr>
          <w:b w:val="0"/>
        </w:rPr>
        <w:t>CATERPILLAR INC (NYSE: CAT) is a global leader and a cornerstone of the industrials sector, designing, manufacturing, and selling construction and mining equipment, diesel and natural gas engines, industrial turbines, and diesel-electric locomotives. The company operates through three primary segments: Construction Industries, Resource Industries, and Energy &amp; Transportation. Its business model is built on providing the essential machinery and power systems that underpin global infrastructure development, resource extraction, and energy production. With a vast global footprint, Caterpillar’s extensive dealer network provides unparalleled sales, parts, and service capabilities, creating a durable competitive moat and a robust aftermarket revenue stream that is less cyclical than its new equipment sales.</w:t>
      </w:r>
    </w:p>
    <w:p>
      <w:r>
        <w:rPr>
          <w:b w:val="0"/>
        </w:rPr>
        <w:t>The company’s operational resilience is supported by its scale and brand reputation, allowing it to maintain pricing power and customer loyalty through economic cycles. Caterpillar’s strategy focuses on operational excellence, services growth, and innovation, including the expansion of autonomous, alternative-fuel, and digital solutions. This positions the company to benefit from secular trends such as global infrastructure spending, the energy transition, and the increasing demand for data center power.</w:t>
      </w:r>
    </w:p>
    <w:p>
      <w:r>
        <w:rPr>
          <w:b w:val="0"/>
        </w:rPr>
        <w:t>From a financial profile perspective, Caterpillar maintains a conservative and investment-grade balance sheet. The company generated revenue of $17,415M over the trailing twelve months, demonstrating its substantial scale. Its financial health is underscored by a Debt/EBITDA ratio of 1.6x and a solid credit rating of BBB+. This financial flexibility provides the capacity to fund shareholder returns, strategic investments, and weather potential market downturns. The combination of its market leadership, diversified end-market exposure, and strong financial position makes Caterpillar a bellwether for global industrial and economic activity.</w:t>
      </w:r>
    </w:p>
    <w:p>
      <w:pPr>
        <w:pStyle w:val="Heading1"/>
      </w:pPr>
      <w:r>
        <w:t>Financial Highlights</w:t>
      </w:r>
    </w:p>
    <w:p>
      <w:r>
        <w:rPr>
          <w:b/>
        </w:rPr>
        <w:t>Financial Highlights: Caterpillar Inc. (CAT)</w:t>
      </w:r>
    </w:p>
    <w:p>
      <w:r>
        <w:rPr>
          <w:b w:val="0"/>
        </w:rPr>
        <w:t xml:space="preserve">Caterpillar Inc. demonstrated robust financial performance in the most recent reported period, underscoring its operational strength and market leadership in the industrials sector. The company generated consolidated revenues of </w:t>
      </w:r>
      <w:r>
        <w:rPr>
          <w:b/>
        </w:rPr>
        <w:t>$17415M</w:t>
      </w:r>
      <w:r>
        <w:rPr>
          <w:b w:val="0"/>
        </w:rPr>
        <w:t xml:space="preserve">, reflecting sustained demand across its key segments and geographies. This top-line strength translated into exceptional profitability, with net income reaching </w:t>
      </w:r>
      <w:r>
        <w:rPr>
          <w:b/>
        </w:rPr>
        <w:t>$8884M</w:t>
      </w:r>
      <w:r>
        <w:rPr>
          <w:b w:val="0"/>
        </w:rPr>
        <w:t>. This level of earnings power highlights Caterpillar's significant operating leverage and effective cost management, allowing it to convert strong sales into substantial bottom-line results. The financial metrics present a picture of a highly profitable and cash-generative enterprise, which is a fundamental consideration for the investment thesis.</w:t>
      </w:r>
    </w:p>
    <w:p>
      <w:r>
        <w:rPr>
          <w:b w:val="0"/>
        </w:rPr>
        <w:t>The current financial results must be viewed within the context of Caterpillar's long-term growth trajectory. The company has consistently capitalized on global infrastructure investment, energy transition projects, and operational efficiency trends in mining and construction. This strategic positioning has facilitated a pattern of resilient growth, even through varying economic cycles. Management's focus on technology, autonomy, and services is designed to drive this growth further, enhancing recurring revenue streams and customer stickiness. The demonstrated ability to grow revenue and expand margins provides confidence in the durability of the company's financial model.</w:t>
      </w:r>
    </w:p>
    <w:p>
      <w:r>
        <w:rPr>
          <w:b w:val="0"/>
        </w:rPr>
        <w:t xml:space="preserve">From a balance sheet and credit perspective, Caterpillar maintains a highly disciplined financial profile. The company's </w:t>
      </w:r>
      <w:r>
        <w:rPr>
          <w:b/>
        </w:rPr>
        <w:t>Debt/EBITDA ratio of 1.6x</w:t>
      </w:r>
      <w:r>
        <w:rPr>
          <w:b w:val="0"/>
        </w:rPr>
        <w:t xml:space="preserve"> indicates a conservative and manageable leverage level, providing significant financial flexibility for capital allocation—including dividends, share repurchases, and strategic investments. This financial prudence is corroborated by its </w:t>
      </w:r>
      <w:r>
        <w:rPr>
          <w:b/>
        </w:rPr>
        <w:t>BBB+ credit rating</w:t>
      </w:r>
      <w:r>
        <w:rPr>
          <w:b w:val="0"/>
        </w:rPr>
        <w:t>, which signifies a strong capacity to meet financial commitments and affirms its status as a creditworthy issuer in the industrial sector. This solid credit profile reduces risk and supports the company's ability to navigate potential market volatility.</w:t>
      </w:r>
    </w:p>
    <w:p>
      <w:pPr>
        <w:pStyle w:val="Heading1"/>
      </w:pPr>
      <w:r>
        <w:t>Valuation</w:t>
      </w:r>
    </w:p>
    <w:p>
      <w:r>
        <w:rPr>
          <w:b/>
        </w:rPr>
        <w:t>Valuation Analysis</w:t>
      </w:r>
    </w:p>
    <w:p>
      <w:r>
        <w:rPr>
          <w:b w:val="0"/>
        </w:rPr>
        <w:t>Caterpillar Inc. (CAT) presents a compelling valuation based on its dominant market position, robust operational scale, and proven cycle-resilience. Our entry multiple analysis centers on an implied Enterprise Value (EV) to EBITDA multiple derived from CAT's current market capitalization, net debt position, and trailing EBITDA. Given the company's $17.415 billion in revenue and its demonstrated margin resilience through economic cycles, we believe a forward-looking EV/EBITDA multiple in the low-to-mid double digits represents a sound entry point. This multiple reflects a premium to the broader industrial machinery sector, justified by CAT's unparalleled brand, extensive global dealer network, and dominant market share in key product categories. The company's manageable leverage, as evidenced by its Debt/EBITDA ratio of 1.6x, and its strong investment-grade credit rating of BBB+ further underpin its financial stability and valuation support.</w:t>
      </w:r>
    </w:p>
    <w:p>
      <w:r>
        <w:rPr>
          <w:b w:val="0"/>
        </w:rPr>
        <w:t>Comparable transaction analysis reinforces this valuation perspective. Recent M&amp;A activity in the industrial machinery and heavy equipment sectors has occurred at EV/EBITDA multiples generally ranging from the high-single digits to the low-teens, with premiums awarded for scale, technological differentiation, and services-driven revenue streams. CAT possesses all these attributes. For instance, transactions involving companies with strong services and aftermarket parts businesses—a key strategic focus for CAT—have consistently priced at the higher end of the range. Furthermore, the company's sheer scale and market leadership in an oligopolistic industry often command a scarcity premium, making direct comparables rare and justifying a valuation toward the upper bound of recent precedent transactions.</w:t>
      </w:r>
    </w:p>
    <w:p>
      <w:r>
        <w:rPr>
          <w:b w:val="0"/>
        </w:rPr>
        <w:t>Our exit assumptions are predicated on a clear, value-creation pathway over a typical investment horizon. We model an exit multiple that is modestly expanded from our entry multiple, assuming successful execution on the company's strategic initiatives to grow its high-margin services business and integrate digital technologies like Cat Digital and autonomous solutions. These initiatives are designed to improve the quality and predictability of earnings, which we believe the market will reward with multiple expansion over time. Additionally, the company's investment-grade balance sheet (BBB+) provides significant financial flexibility for strategic capital allocation, whether through disciplined reinvestment, accretive acquisitions, or shareholder returns, all of which can enhance exit value. Our base case projects a total return driven by EBITDA growth, modest multiple expansion, and the effect of leverage, with a defined exit via a public market sale or a strategic acquisition in years 4-6.</w:t>
      </w:r>
    </w:p>
    <w:p>
      <w:pPr>
        <w:pStyle w:val="Heading1"/>
      </w:pPr>
      <w:r>
        <w:t>Risks &amp; Mitigants</w:t>
      </w:r>
    </w:p>
    <w:p>
      <w:r>
        <w:rPr>
          <w:b w:val="0"/>
        </w:rPr>
        <w:t># Risks &amp; Mitigants — Caterpillar Inc (CAT)</w:t>
      </w:r>
    </w:p>
    <w:p>
      <w:r>
        <w:rPr>
          <w:b w:val="0"/>
        </w:rPr>
        <w:t>## Key Risks</w:t>
      </w:r>
    </w:p>
    <w:p>
      <w:r>
        <w:rPr>
          <w:b w:val="0"/>
        </w:rPr>
        <w:t xml:space="preserve">Caterpillar Inc (CAT), as a global leader in heavy equipment manufacturing within the industrials sector, faces several material risks that warrant careful consideration. First, </w:t>
      </w:r>
      <w:r>
        <w:rPr>
          <w:b/>
        </w:rPr>
        <w:t>cyclicality and macroeconomic sensitivity</w:t>
      </w:r>
      <w:r>
        <w:rPr>
          <w:b w:val="0"/>
        </w:rPr>
        <w:t xml:space="preserve"> represent a core concern. With trailing twelve-month revenue of $17,415M, CAT's top line is heavily tied to construction activity, mining capital expenditures, and energy infrastructure spending — all of which are highly correlated with broader economic cycles. A meaningful downturn in global GDP, particularly in key markets such as China and the United States, could trigger a sharp decline in equipment orders and compress margins significantly. Second, </w:t>
      </w:r>
      <w:r>
        <w:rPr>
          <w:b/>
        </w:rPr>
        <w:t>commodity price volatility</w:t>
      </w:r>
      <w:r>
        <w:rPr>
          <w:b w:val="0"/>
        </w:rPr>
        <w:t xml:space="preserve"> poses a dual risk: falling commodity prices reduce demand from mining and energy customers, while rising input costs — particularly for steel, copper, and other raw materials — can erode profitability on equipment sales. Third, </w:t>
      </w:r>
      <w:r>
        <w:rPr>
          <w:b/>
        </w:rPr>
        <w:t>geopolitical and trade-related risks</w:t>
      </w:r>
      <w:r>
        <w:rPr>
          <w:b w:val="0"/>
        </w:rPr>
        <w:t xml:space="preserve"> remain elevated given CAT's extensive global footprint. Tariff escalations, supply chain disruptions, and sanctions regimes could impair the company's ability to source components cost-effectively or access critical end markets. Finally, </w:t>
      </w:r>
      <w:r>
        <w:rPr>
          <w:b/>
        </w:rPr>
        <w:t>customer concentration in cyclical end markets</w:t>
      </w:r>
      <w:r>
        <w:rPr>
          <w:b w:val="0"/>
        </w:rPr>
        <w:t xml:space="preserve"> creates earnings volatility that may not be fully captured in near-term consensus estimates.</w:t>
      </w:r>
    </w:p>
    <w:p>
      <w:r>
        <w:rPr>
          <w:b w:val="0"/>
        </w:rPr>
        <w:t>## Mitigants</w:t>
      </w:r>
    </w:p>
    <w:p>
      <w:r>
        <w:rPr>
          <w:b w:val="0"/>
        </w:rPr>
        <w:t xml:space="preserve">Despite these risks, several structural and financial mitigants support a constructive view on CAT. The company's </w:t>
      </w:r>
      <w:r>
        <w:rPr>
          <w:b/>
        </w:rPr>
        <w:t>aftermarket parts and services business</w:t>
      </w:r>
      <w:r>
        <w:rPr>
          <w:b w:val="0"/>
        </w:rPr>
        <w:t xml:space="preserve"> provides a meaningful recurring revenue stream that tends to remain resilient even during cyclical downturns, as customers continue to maintain and repair existing fleets when new equipment purchases are deferred. This installed base of equipment — one of the largest in the world — acts as a natural hedge against revenue cyclicality. From a balance sheet perspective, CAT maintains a </w:t>
      </w:r>
      <w:r>
        <w:rPr>
          <w:b/>
        </w:rPr>
        <w:t>Debt/EBITDA ratio of just 1.6x</w:t>
      </w:r>
      <w:r>
        <w:rPr>
          <w:b w:val="0"/>
        </w:rPr>
        <w:t xml:space="preserve">, reflecting disciplined capital allocation and providing ample financial flexibility to weather periods of earnings pressure without jeopardizing the dividend or requiring dilutive financing. Furthermore, the company's </w:t>
      </w:r>
      <w:r>
        <w:rPr>
          <w:b/>
        </w:rPr>
        <w:t>BBB+ credit rating</w:t>
      </w:r>
      <w:r>
        <w:rPr>
          <w:b w:val="0"/>
        </w:rPr>
        <w:t xml:space="preserve"> from major agencies affirms its investment-grade standing and ensures favorable access to capital markets, even in stressed environments. CAT has also demonstrated an ability to </w:t>
      </w:r>
      <w:r>
        <w:rPr>
          <w:b/>
        </w:rPr>
        <w:t>manage cost structures proactively</w:t>
      </w:r>
      <w:r>
        <w:rPr>
          <w:b w:val="0"/>
        </w:rPr>
        <w:t xml:space="preserve"> through lean manufacturing initiatives and strategic pricing actions, which have historically allowed the company to protect margins during inflationary periods and moderate demand environments. The diversification across three primary segments — Construction Industries, Resource Industries, and Energy &amp; Transportation — further reduces single-end-market dependency and provides cross-cycle earnings support. Taken together, these mitigants provide meaningful downside protection while preserving CAT's ability to participate in cyclical upswings.</w:t>
      </w:r>
    </w:p>
    <w:p>
      <w:pPr>
        <w:pStyle w:val="Heading1"/>
      </w:pPr>
      <w:r>
        <w:t>Recommendation</w:t>
      </w:r>
    </w:p>
    <w:p>
      <w:r>
        <w:rPr>
          <w:b w:val="0"/>
        </w:rPr>
        <w:t>## Recommendation</w:t>
      </w:r>
    </w:p>
    <w:p>
      <w:r>
        <w:rPr>
          <w:b/>
        </w:rPr>
        <w:t>Caterpillar Inc (CAT)</w:t>
      </w:r>
      <w:r>
        <w:rPr>
          <w:b w:val="0"/>
        </w:rPr>
        <w:t xml:space="preserve"> presents a compelling investment opportunity within the industrials sector, and we recommend a </w:t>
      </w:r>
      <w:r>
        <w:rPr>
          <w:b/>
        </w:rPr>
        <w:t>GO</w:t>
      </w:r>
      <w:r>
        <w:rPr>
          <w:b w:val="0"/>
        </w:rPr>
        <w:t xml:space="preserve"> decision with a position sized to reflect the company's market leadership, robust financial profile, and favorable secular tailwinds. As the world's largest manufacturer of construction and mining equipment, CAT benefits from an unparalleled global dealer network, strong brand equity, and diversified end-market exposure spanning construction, resource industries, and energy &amp; transportation. With trailing twelve-month revenue of </w:t>
      </w:r>
      <w:r>
        <w:rPr>
          <w:b/>
        </w:rPr>
        <w:t>$17,415M</w:t>
      </w:r>
      <w:r>
        <w:rPr>
          <w:b w:val="0"/>
        </w:rPr>
        <w:t>, the company demonstrates meaningful scale and earnings visibility. Its disciplined capital allocation, demonstrated through consistent shareholder returns and strategic reinvestment, further strengthens our conviction. The current macro environment—including infrastructure spending catalysts, energy transition investments, and ongoing reshoring trends—positions CAT for sustained demand across its core segments.</w:t>
      </w:r>
    </w:p>
    <w:p>
      <w:r>
        <w:rPr>
          <w:b w:val="0"/>
        </w:rPr>
        <w:t xml:space="preserve">From a balance sheet perspective, CAT maintains a prudent financial posture with a </w:t>
      </w:r>
      <w:r>
        <w:rPr>
          <w:b/>
        </w:rPr>
        <w:t>Debt/EBITDA ratio of 1.6x</w:t>
      </w:r>
      <w:r>
        <w:rPr>
          <w:b w:val="0"/>
        </w:rPr>
        <w:t xml:space="preserve">, well within acceptable thresholds for a cyclical industrial of this magnitude. The company carries a </w:t>
      </w:r>
      <w:r>
        <w:rPr>
          <w:b/>
        </w:rPr>
        <w:t>BBB+ credit rating</w:t>
      </w:r>
      <w:r>
        <w:rPr>
          <w:b w:val="0"/>
        </w:rPr>
        <w:t>, affording it favorable access to debt capital markets while signaling adequate financial flexibility to weather potential economic softness. This credit profile supports our confidence in CAT's ability to sustain its dividend, fund organic growth initiatives, and pursue opportunistic share repurchases even through periods of cyclical volatility. The combination of pricing power, an expanding services backlog, and disciplined cost management provides a meaningful earnings buffer that warrants a confident ownership posture.</w:t>
      </w:r>
    </w:p>
    <w:p>
      <w:r>
        <w:rPr>
          <w:b w:val="0"/>
        </w:rPr>
        <w:t xml:space="preserve">We recommend establishing a </w:t>
      </w:r>
      <w:r>
        <w:rPr>
          <w:b/>
        </w:rPr>
        <w:t>target ownership position of 3.0%–4.5% of the total portfolio</w:t>
      </w:r>
      <w:r>
        <w:rPr>
          <w:b w:val="0"/>
        </w:rPr>
        <w:t>, reflecting a core overweight relative to benchmark weighting. This sizing balances our constructive fundamental outlook against the inherent cyclicality of the industrials sector and the elevated expectations embedded in current valuations. Position building should be executed through a phased deployment strategy: allocate approximately 50% of target capital at current levels to capture the near-term infrastructure and equipment refresh cycle, with the remaining 50% reserved for incremental tranches on pullbacks of 5–8% or on confirmation of accelerating order trends. Stop-loss discipline should be maintained at 12–15% below entry cost basis.</w:t>
      </w:r>
    </w:p>
    <w:p>
      <w:r>
        <w:rPr>
          <w:b/>
        </w:rPr>
        <w:t>Capital deployment</w:t>
      </w:r>
      <w:r>
        <w:rPr>
          <w:b w:val="0"/>
        </w:rPr>
        <w:t xml:space="preserve"> should be structured with a 12–18 month investment horizon, with a primary total return objective of 12–18% inclusive of the dividend yield. We recommend setting an initial price target reflective of 16–17x forward earnings, contingent on continued margin expansion in the Resource Industries segment and sustained Services revenue growth. Risk management protocols include close monitoring of global construction activity indices, dealer inventory levels, and commodity price movements as leading indicators. We will reassess the position thesis quarterly, with a formal review triggered by any material deterioration in the credit profile, a shift in the demand outlook, or if the Debt/EBITDA ratio exceeds 2.0x.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