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Molecular Dynamics v. Spectrum Dynamics</w:t>
      </w:r>
    </w:p>
    <w:p>
      <w:r>
        <w:rPr>
          <w:b/>
        </w:rPr>
        <w:t>TO:</w:t>
        <w:tab/>
      </w:r>
      <w:r>
        <w:t>Senior Partner</w:t>
      </w:r>
    </w:p>
    <w:p>
      <w:r>
        <w:rPr>
          <w:b/>
        </w:rPr>
        <w:t>FROM:</w:t>
        <w:tab/>
      </w:r>
      <w:r>
        <w:t>Senior Associate</w:t>
      </w:r>
    </w:p>
    <w:p>
      <w:r>
        <w:rPr>
          <w:b/>
        </w:rPr>
        <w:t>DATE:</w:t>
        <w:tab/>
      </w:r>
      <w:r>
        <w:t>[Current Date]</w:t>
      </w:r>
    </w:p>
    <w:p>
      <w:r>
        <w:rPr>
          <w:b/>
        </w:rPr>
        <w:t>RE:</w:t>
        <w:tab/>
      </w:r>
      <w:r>
        <w:t>Legal Analysis of Molecular Dynamics, Ltd. v. Spectrum Dynamics Medical Ltd., 143 F.4th 70 (2d Cir. 2025), Docket No. 24-2209-cv</w:t>
      </w:r>
    </w:p>
    <w:p>
      <w:r>
        <w:t>________________________________________________________________________________</w:t>
      </w:r>
    </w:p>
    <w:p>
      <w:pPr>
        <w:pStyle w:val="Heading1"/>
      </w:pPr>
      <w:r>
        <w:t>MEMORANDUM</w:t>
      </w:r>
    </w:p>
    <w:p>
      <w:r>
        <w:rPr>
          <w:b w:val="0"/>
        </w:rPr>
        <w:t>TO: Senior Partner</w:t>
        <w:br/>
        <w:t>FROM: Senior Associate</w:t>
        <w:br/>
        <w:t>DATE: [Current Date]</w:t>
        <w:br/>
        <w:t>RE: Legal Analysis of Molecular Dynamics, Ltd. v. Spectrum Dynamics Medical Ltd., 143 F.4th 70 (2d Cir. 2025), Docket No. 24-2209-cv</w:t>
      </w:r>
    </w:p>
    <w:p>
      <w:pPr>
        <w:pStyle w:val="Heading2"/>
      </w:pPr>
      <w:r>
        <w:t>ISSUE PRESENTED</w:t>
      </w:r>
    </w:p>
    <w:p>
      <w:r>
        <w:rPr>
          <w:b w:val="0"/>
        </w:rPr>
        <w:t>Whether a United States district court has subject-matter jurisdiction under the Convention on the Recognition and Enforcement of Foreign Arbitral Awards (the "New York Convention") to vacate a foreign arbitral award when the parties have contractually agreed that New York courts would have exclusive jurisdiction over all matters concerning the arbitration.</w:t>
      </w:r>
    </w:p>
    <w:p>
      <w:pPr>
        <w:pStyle w:val="Heading2"/>
      </w:pPr>
      <w:r>
        <w:t>SHORT ANSWER</w:t>
      </w:r>
    </w:p>
    <w:p>
      <w:r>
        <w:rPr>
          <w:b w:val="0"/>
        </w:rPr>
        <w:t>The Second Circuit held that the New York Convention does not preclude a U.S. district court from exercising subject-matter jurisdiction to vacate a foreign arbitral award. The court reversed the district court's (Judge Katherine P. Failla) denial of the petition to vacate, concluding that the Convention does not command that all vacatur proceedings take place in the country that produced the award.</w:t>
      </w:r>
    </w:p>
    <w:p>
      <w:pPr>
        <w:pStyle w:val="Heading2"/>
      </w:pPr>
      <w:r>
        <w:t>STATEMENT OF FACTS</w:t>
      </w:r>
    </w:p>
    <w:p>
      <w:r>
        <w:rPr>
          <w:b w:val="0"/>
        </w:rPr>
        <w:t>Petitioners-Appellants Molecular Dynamics, Ltd., SDBM Limited, and Chauncey Capital Corp. were on the losing end of an arbitration held in Geneva, Switzerland. The arbitration resulted in the award of a substantial monetary sum, declaratory relief, and costs and attorneys' fees to Respondents-Appellees Spectrum Dynamics Medical Limited and Biosensors International Group Ltd.</w:t>
      </w:r>
    </w:p>
    <w:p>
      <w:r>
        <w:rPr>
          <w:b w:val="0"/>
        </w:rPr>
        <w:t>In accord with an agreement between the parties that New York courts would have exclusive jurisdiction over all matters concerning the arbitration, Petitioners-Appellants filed a petition to vacate the arbitral awards in the U.S. District Court for the Southern District of New York.</w:t>
      </w:r>
    </w:p>
    <w:p>
      <w:r>
        <w:rPr>
          <w:b w:val="0"/>
        </w:rPr>
        <w:t>The district court, presided over by Judge Katherine P. Failla, denied the petition. The court concluded that it lacked subject-matter jurisdiction to vacate the Swiss-made awards under the New York Convention because, in the district court's view, the awards may only be vacated in the country where they were made—in this case, Switzerland.</w:t>
      </w:r>
    </w:p>
    <w:p>
      <w:r>
        <w:rPr>
          <w:b w:val="0"/>
        </w:rPr>
        <w:t>Plaintiffs-Appellants appealed to the Second Circuit. The case was argued on May 14, 2025, and decided on July 2, 2025, before a panel consisting of Circuit Judges Sack, Wesley, and Robinson.</w:t>
      </w:r>
    </w:p>
    <w:p>
      <w:r>
        <w:rPr>
          <w:b w:val="0"/>
        </w:rPr>
        <w:t>Note: The Clerk of Court amended the official caption to correct the name of one Petitioner-Appellant from 'SBDM Limited' to 'SDBM Limited,' as reflected in the parties' briefs and exhibits.</w:t>
      </w:r>
    </w:p>
    <w:p>
      <w:pPr>
        <w:pStyle w:val="Heading2"/>
      </w:pPr>
      <w:r>
        <w:t>DISCUSSION</w:t>
      </w:r>
    </w:p>
    <w:p>
      <w:r>
        <w:rPr>
          <w:b w:val="0"/>
        </w:rPr>
        <w:t>The central legal question in this case concerns the interplay between the New York Convention's provisions for recognition and enforcement of foreign arbitral awards and the parties' freedom to contractually designate a forum for vacatur proceedings. The district court adopted the position that under the Convention, an award may only be vacated in the country where it was made—here, Switzerland. This interpretation would have effectively barred U.S. courts from reviewing the Swiss arbitral award regardless of the parties' agreement.</w:t>
      </w:r>
    </w:p>
    <w:p>
      <w:r>
        <w:rPr>
          <w:b w:val="0"/>
        </w:rPr>
        <w:t>The Second Circuit rejected this narrow reading. The court emphasized that the New York Convention does not command that all vacatur proceedings take place in the country that produced an award. This holding recognizes that parties to international arbitration have the autonomy to agree on the jurisdiction that will oversee vacatur proceedings, even when the arbitration itself takes place in a different country.</w:t>
      </w:r>
    </w:p>
    <w:p>
      <w:r>
        <w:rPr>
          <w:b w:val="0"/>
        </w:rPr>
        <w:t>The significance of the parties' agreement cannot be overstated. The contract between Molecular Dynamics and Spectrum Dynamics expressly provided that 'New York courts would have exclusive jurisdiction over all matters concerning the arbitration.' This broad jurisdictional clause encompassed not only enforcement proceedings but also vacatur actions. The Second Circuit's decision validates this contractual arrangement and affirms that parties can select a vacatur forum different from the arbitral seat.</w:t>
      </w:r>
    </w:p>
    <w:p>
      <w:r>
        <w:rPr>
          <w:b w:val="0"/>
        </w:rPr>
        <w:t>This ruling has important implications for international arbitration practice. First, it establishes that in the Second Circuit, parties retain the contractual freedom to designate a U.S. forum for vacatur of foreign awards. Second, it clarifies that the New York Convention's framework does not create a rigid territorial rule that would override such agreements. Third, it ensures that parties who specifically negotiate for U.S. court oversight of their arbitration can rely on that agreement when seeking to challenge unfavorable awards.</w:t>
      </w:r>
    </w:p>
    <w:p>
      <w:r>
        <w:rPr>
          <w:b w:val="0"/>
        </w:rPr>
        <w:t>For our clients, this decision is significant because it preserves their ability to seek vacatur of the Swiss arbitral award in New York courts, as the parties originally contemplated. The district court's contrary ruling would have forced our clients to pursue vacatur in Switzerland, potentially under less favorable legal standards and without the benefit of the New York court expertise they had bargained for.</w:t>
      </w:r>
    </w:p>
    <w:p>
      <w:pPr>
        <w:pStyle w:val="Heading2"/>
      </w:pPr>
      <w:r>
        <w:t>CONCLUSION</w:t>
      </w:r>
    </w:p>
    <w:p>
      <w:r>
        <w:rPr>
          <w:b w:val="0"/>
        </w:rPr>
        <w:t>The Second Circuit's decision in Molecular Dynamics, Ltd. v. Spectrum Dynamics Medical Ltd., 143 F.4th 70, establishes that U.S. district courts possess subject-matter jurisdiction under the New York Convention to vacate foreign arbitral awards when the parties have contractually agreed to U.S. court jurisdiction. The court reversed the district court's denial of the petition to vacate and remanded the case for further proceedings.</w:t>
      </w:r>
    </w:p>
    <w:p>
      <w:r>
        <w:rPr>
          <w:b w:val="0"/>
        </w:rPr>
        <w:t>For our clients, this ruling is favorable because it restores their ability to challenge the Swiss arbitral award in the agreed-upon forum of New York. The following strategic recommendations are offered for consideration:</w:t>
      </w:r>
    </w:p>
    <w:p>
      <w:r>
        <w:rPr>
          <w:b w:val="0"/>
        </w:rPr>
        <w:t>1. Proceed with the vacatur petition in the Southern District of New York on remand, focusing on substantive grounds for vacatur under the Federal Arbitration Act and applicable case law.</w:t>
      </w:r>
    </w:p>
    <w:p>
      <w:r>
        <w:rPr>
          <w:b w:val="0"/>
        </w:rPr>
        <w:t>2. Review the underlying arbitration agreement and the arbitral award to identify specific grounds for vacatur that may be available under U.S. law.</w:t>
      </w:r>
    </w:p>
    <w:p>
      <w:r>
        <w:rPr>
          <w:b w:val="0"/>
        </w:rPr>
        <w:t>3. Consider the potential costs and benefits of continued litigation versus potential settlement discussions with Respondents-Appellees Spectrum Dynamics Medical Limited and Biosensors International Group Ltd.</w:t>
      </w:r>
    </w:p>
    <w:p>
      <w:r>
        <w:rPr>
          <w:b w:val="0"/>
        </w:rPr>
        <w:t>4. Monitor any subsequent developments in the Second Circuit or Supreme Court regarding the interpretation of the New York Convention's jurisdictional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