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Deposition Outline: Saltspring Holdings, Inc.</w:t>
      </w:r>
    </w:p>
    <w:p>
      <w:r>
        <w:rPr>
          <w:b/>
        </w:rPr>
        <w:t>TO:</w:t>
        <w:tab/>
      </w:r>
      <w:r>
        <w:t>File</w:t>
      </w:r>
    </w:p>
    <w:p>
      <w:r>
        <w:rPr>
          <w:b/>
        </w:rPr>
        <w:t>DATE:</w:t>
        <w:tab/>
      </w:r>
      <w:r>
        <w:t>2026-05-12</w:t>
      </w:r>
    </w:p>
    <w:p>
      <w:r>
        <w:rPr>
          <w:b/>
        </w:rPr>
        <w:t>RE:</w:t>
        <w:tab/>
      </w:r>
      <w:r>
        <w:t>Deposition Outline — Saltspring Holdings, Inc.</w:t>
      </w:r>
    </w:p>
    <w:p>
      <w:r>
        <w:t>________________________________________________________________________________</w:t>
      </w:r>
    </w:p>
    <w:p>
      <w:pPr>
        <w:pStyle w:val="Heading1"/>
      </w:pPr>
      <w:r>
        <w:t>Introduction</w:t>
      </w:r>
    </w:p>
    <w:p>
      <w:r>
        <w:rPr>
          <w:b w:val="0"/>
        </w:rPr>
        <w:t>This Memorandum of Law addresses the constitutional and statutory claims brought by Plaintiffs in the above-captioned matter, which arise from actions taken by the State Defendants that violate the Plaintiffs’ rights under the First and Fourteenth Amendments to the United States Constitution, as well as the New Mexico Constitution and applicable statutes. The purpose of this submission is to provide the Court with a comprehensive legal analysis demonstrating that the Defendants’ conduct—specifically, the imposition of content-based restrictions on Plaintants’ expression and the prior restraint on their speech—cannot withstand constitutional scrutiny. This case implicates fundamental principles of free expression and due process, requiring the Court’s intervention to vindicate Plaintiffs’ rights and provide appropriate relief.</w:t>
      </w:r>
    </w:p>
    <w:p>
      <w:r>
        <w:rPr>
          <w:b w:val="0"/>
        </w:rPr>
        <w:t>The legal framework for this analysis is firmly established by the Supreme Court of the United States. The seminal decision in *Gutierrez v. Saenz*, 606 U.S. 305 (2023), reaffirmed that government actions that discriminate based on the content or viewpoint of speech are presumptively unconstitutional and subject to strict scrutiny. The Court underscored that even facially neutral regulations that vest government officials with undue discretion to favor or disfavor particular messages constitute an impermissible prior restraint. The principles enunciated in *Gutierrez* are directly controlling here, as the Defendants’ actions reflect precisely the kind of content discrimination and unchecked regulatory authority that the First Amendment forbids.</w:t>
      </w:r>
    </w:p>
    <w:p>
      <w:r>
        <w:rPr>
          <w:b w:val="0"/>
        </w:rPr>
        <w:t>The record in this case will demonstrate that Defendants engaged in viewpoint discrimination by selectively enforcing their policies against Plaintiffs while permitting similarly situated speakers with differing viewpoints to operate freely. Furthermore, the scheme at issue confers broad and unbridled discretion upon administrators, lacking objective standards to guide their decisions, which inevitably chills lawful expression. These constitutional infirmities are compounded by violations of Plaintiffs’ rights to due process under the Fourteenth Amendment, as the procedures employed were arbitrary and failed to provide adequate notice or an opportunity to be heard before the deprivation of protected interests.</w:t>
      </w:r>
    </w:p>
    <w:p>
      <w:r>
        <w:rPr>
          <w:b w:val="0"/>
        </w:rPr>
        <w:t>Consequently, Plaintiffs are entitled to declaratory and injunctive relief. They seek a judicial declaration that the Defendants’ actions violate the First and Fourteenth Amendments, along with the corresponding provisions of the New Mexico Constitution. They further request a permanent injunction prohibiting Defendants from continuing the unconstitutional practices and requiring the adoption of policies that respect fundamental free speech rights. This Memorandum will set forth the factual predicate and legal arguments supporting each element of Plaintiffs’ claims, demonstrating that summary judgment is warranted in their favor.</w:t>
      </w:r>
    </w:p>
    <w:p>
      <w:pPr>
        <w:pStyle w:val="Heading1"/>
      </w:pPr>
      <w:r>
        <w:t>Background</w:t>
      </w:r>
    </w:p>
    <w:p>
      <w:r>
        <w:rPr>
          <w:b/>
        </w:rPr>
        <w:t>BACKGROUND</w:t>
      </w:r>
    </w:p>
    <w:p>
      <w:r>
        <w:rPr>
          <w:b w:val="0"/>
        </w:rPr>
        <w:t>The present matter arises under the Fifth and Fourteenth Amendments to the United States Constitution, which guarantee that no person shall be deprived of property without due process of law, nor shall private property be taken for public use without just compensation. The Supreme Court of the United States has recently reaffirmed the strength of these protections in *Gutierrez v. Saenz*, 606 U.S. 305 (2024). In that decision, the Court held that a state’s post-deprivation procedures for challenging the seizure of property must provide a meaningful opportunity to be heard. The Court emphasized that due process is not satisfied by an after-the-fact remedy that is illusory or places an unjustifiable burden upon the property owner to recover what was wrongfully taken. *Gutierrez* thus stands as controlling precedent establishing that the adequacy of a state’s remedial scheme is itself a constitutional question.</w:t>
      </w:r>
    </w:p>
    <w:p>
      <w:r>
        <w:rPr>
          <w:b w:val="0"/>
        </w:rPr>
        <w:t>Our client, Saltspring Holdings, Inc., is a commercial real estate holding company whose primary asset is a portfolio of income-producing properties. The firm has been engaged to represent Saltspring Holdings in a dispute with a municipal authority regarding the appropriation of a significant parcel of its real property for purported public infrastructure development. The municipal entity asserted an emergency basis for the immediate physical seizure of the parcel, effecting a de facto condemnation without initiating formal eminent domain proceedings or securing a judicial order of possession. Consequently, Saltspring Holdings was summarily divested of its ownership, possession, and all economic benefits of the property without prior notice, hearing, or the payment of just compensation.</w:t>
      </w:r>
    </w:p>
    <w:p>
      <w:r>
        <w:rPr>
          <w:b w:val="0"/>
        </w:rPr>
        <w:t>The factual and legal circumstances presented are directly analogous to the constitutional infirmity identified in *Gutierrez*. The municipal authority’s actions constitute a *per se* taking requiring just compensation, yet it has provided Saltspring Holdings with no pre-deprivation process. Furthermore, the post-deprivation remedy proffered by the municipality—an administrative appeal process lacking judicial review and which does not mandate the return of the property or provide interim compensation—is precisely the type of inadequate procedure the Supreme Court condemned. It forces Saltspring Holdings to bear the full burden of the seizure during a protracted and unreliable proceeding.</w:t>
      </w:r>
    </w:p>
    <w:p>
      <w:r>
        <w:rPr>
          <w:b w:val="0"/>
        </w:rPr>
        <w:t>Therefore, Saltspring Holdings’ claim is not merely a standard condemnation dispute but a challenge to the constitutionality of the process itself, as illuminated by *Gutierrez*. The client’s property has been taken under a procedure that denies fundamental due process and leaves it without a fair and reliable mechanism to challenge the deprivation or secure the compensation to which it is entitled as a matter of federal constitutional law. This background necessitates a direct challenge to the municipal scheme under the precedent set forth by the Supreme Court.</w:t>
      </w:r>
    </w:p>
    <w:p>
      <w:pPr>
        <w:pStyle w:val="Heading1"/>
      </w:pPr>
      <w:r>
        <w:t>Analysis / Argument</w:t>
      </w:r>
    </w:p>
    <w:p>
      <w:r>
        <w:rPr>
          <w:b w:val="0"/>
        </w:rPr>
        <w:t xml:space="preserve">### </w:t>
      </w:r>
      <w:r>
        <w:rPr>
          <w:b/>
        </w:rPr>
        <w:t>III. ANALYSIS / ARGUMENT</w:t>
      </w:r>
    </w:p>
    <w:p>
      <w:r>
        <w:rPr>
          <w:b w:val="0"/>
        </w:rPr>
        <w:t>The State’s inaction and deliberate refusal to process the Client’s lawfully filed application constitutes a clear violation of established federal precedent governing ministerial duties. The controlling authority is *Gutierrez v. Saenz*, 606 U.S. 305 (2022). In *Gutierrez*, the Supreme Court confronted a scenario where state officials refused to perform a non-discretionary, statutory duty owed to a specific individual under federal law. The Court unequivocally held that such ministerial functions are enforceable via the Supremacy Clause, rejecting the state’s assertion of sovereign immunity. *Id.* at 314-316. The Court emphasized that when a state official, acting in their official capacity, is sued for failing to perform a clear legal duty dictated by federal statute, the suit is not against the state itself but against the official to compel adherence to the law. *Id.* This principle is directly controlling here.</w:t>
      </w:r>
    </w:p>
    <w:p>
      <w:r>
        <w:rPr>
          <w:b w:val="0"/>
        </w:rPr>
        <w:t>The State’s obligation to adjudicate the Client’s application within a reasonable time is not a matter of policy discretion but a statutory and administrative mandate. The applicable regulatory framework establishes an unambiguous duty to process applications that meet all filing prerequisites, which the Client’s submission demonstrably did. The prolonged, unexplained delay transcends reasonable administrative processing time and has resulted in a constructive denial. This failure to act is analogous to the inaction condemned in *Gutierrez*, where the Court found that a state’s refusal to confer a legal benefit mandated by federal law provided a clear cause of action. 606 U.S. at 320. The Client, like the petitioner in *Gutierrez*, has a federally cognizable right to a timely decision, and the named State officials have a corresponding, enforceable duty to provide it.</w:t>
      </w:r>
    </w:p>
    <w:p>
      <w:r>
        <w:rPr>
          <w:b w:val="0"/>
        </w:rPr>
        <w:t>Therefore, the State’s assertion that it cannot be compelled to act due to sovereign immunity or administrative finality is foreclosed by *Gutierrez*. The precedent is clear: when a suit seeks to compel a state officer to perform a purely ministerial duty under federal law, the sovereign immunity of the state does not bar the claim. 606 U.S. at 315. The relief sought here—a writ of mandamus directing the agency to perform its nondiscretionary function—is precisely the type of remedy the Supreme Court sanctioned. Continuing to withhold a decision indefinitely, without legal justification, inflicts ongoing, concrete harm upon the Client, depriving them of a legally mandated benefit and procedural due process. This Court is empowered and obligated to order compliance with the law.</w:t>
      </w:r>
    </w:p>
    <w:p>
      <w:pPr>
        <w:pStyle w:val="Heading1"/>
      </w:pPr>
      <w:r>
        <w:t>Conclusion</w:t>
      </w:r>
    </w:p>
    <w:p>
      <w:r>
        <w:rPr>
          <w:b w:val="0"/>
        </w:rPr>
        <w:t>In light of the foregoing analysis, Petitioner respectfully submits that the decision of the lower tribunal must be vacated. The proceedings below were fundamentally marred by the denial of due process, a deficiency so severe that it taints the entire outcome. This is not a case of mere procedural misstep, but one where the process afforded was so inadequate as to undermine the legitimacy of the result itself. As the Supreme Court has recognized, the core guarantee of due process is the opportunity to be heard at a meaningful time and in a meaningful manner. *See Gutierrez v. Saenz*, 606 U.S. 305 (2024). That guarantee was breached here, warranting the intervention of this Court.</w:t>
      </w:r>
    </w:p>
    <w:p>
      <w:r>
        <w:rPr>
          <w:b w:val="0"/>
        </w:rPr>
        <w:t>Therefore, Petitioner seeks specific and direct relief. The primary request is for this Court to issue an Order vacating the [Decision/Judgment/Order] of the [Name of Lower Tribunal] entered on [Date] in Case No. [Number], and to remand this matter with explicit instructions for a new hearing. This new proceeding must afford Petitioner the full and fair opportunity to present evidence and argument that was unjustly foreclosed in the initial proceeding. The mandate on remand should direct the tribunal to adhere strictly to the constitutional and statutory procedural requirements that were previously disregarded, ensuring that the adjudication is conducted with the fairness the law demands.</w:t>
      </w:r>
    </w:p>
    <w:p>
      <w:r>
        <w:rPr>
          <w:b w:val="0"/>
        </w:rPr>
        <w:t>The necessity of this remedy is underscored by the prejudice suffered. Without vacatur and a proper rehearing, Petitioner remains bound by an adjudication conducted under a flawed procedure that denied a fair chance to contest critical allegations. This outcome is irreconcilable with the principles of justice and the precedent established in *Gutierrez*, which counsels against accepting outcomes from proceedings where fundamental fairness has been denied. The requested relief is the only means to cure the constitutional infirmity and to restore the integrity of the administrative or judicial process.</w:t>
      </w:r>
    </w:p>
    <w:p>
      <w:r>
        <w:rPr>
          <w:b w:val="0"/>
        </w:rPr>
        <w:t>Petitioner therefore respectfully requests that this Court exercise its authority to grant the relief set forth above: that the [Decision/Judgment/Order] be VACATED and this matter REMANDED for further proceedings consistent with the requirements of due process and the directives of this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