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Northbeam Partners, LLC</w:t>
      </w:r>
    </w:p>
    <w:p>
      <w:r>
        <w:rPr>
          <w:b/>
        </w:rPr>
        <w:t>TO:</w:t>
        <w:tab/>
      </w:r>
      <w:r>
        <w:t>File</w:t>
      </w:r>
    </w:p>
    <w:p>
      <w:r>
        <w:rPr>
          <w:b/>
        </w:rPr>
        <w:t>DATE:</w:t>
        <w:tab/>
      </w:r>
      <w:r>
        <w:t>2026-05-12</w:t>
      </w:r>
    </w:p>
    <w:p>
      <w:r>
        <w:rPr>
          <w:b/>
        </w:rPr>
        <w:t>RE:</w:t>
        <w:tab/>
      </w:r>
      <w:r>
        <w:t>Legal Memo — Northbeam Partners, LLC</w:t>
      </w:r>
    </w:p>
    <w:p>
      <w:r>
        <w:t>________________________________________________________________________________</w:t>
      </w:r>
    </w:p>
    <w:p>
      <w:pPr>
        <w:pStyle w:val="Heading1"/>
      </w:pPr>
      <w:r>
        <w:t>Question Presented</w:t>
      </w:r>
    </w:p>
    <w:p>
      <w:r>
        <w:rPr>
          <w:b/>
        </w:rPr>
        <w:t>QUESTION PRESENTED</w:t>
      </w:r>
    </w:p>
    <w:p>
      <w:r>
        <w:rPr>
          <w:b w:val="0"/>
        </w:rPr>
        <w:t>Whether the patent specification complies with the written description requirement of 35 U.S.C. § 112(a) when it claims an invention using means-plus-function language pursuant to 35 U.S.C. § 112(f), but fails to disclose any corresponding structure in the specification beyond a general-purpose computer, thereby effectively claiming a pure software algorithm or mathematical process without adequate support for a specific structural embodiment.</w:t>
      </w:r>
    </w:p>
    <w:p>
      <w:r>
        <w:rPr>
          <w:b w:val="0"/>
        </w:rPr>
        <w:t>This question is governed by the framework established in *Mitek Systems, Inc. v. United Services Automobile Association*, 139 F.4th 1340 (Fed. Cir. 2025). In *Mitek*, the United States Court of Appeals for the Federal Circuit held that a means-plus-function claim element is indefinite under § 112(b) and fails the written description requirement of § 112(a) when the specification discloses only an algorithm executed by a general-purpose computer and no other specific structure. *Id.* at 1349-50. The Court emphasized that merely reciting a generic computer to perform a software-implemented function does not satisfy the statutory mandate of disclosing the corresponding structure for a means-plus-function limitation. *Id.* at 1352. The precedent therefore requires that the specification must disclose a particular algorithm or specific programmed logic, distinct from a general-purpose processor, to be considered adequate corresponding structure. *Id.* at 1351.</w:t>
      </w:r>
    </w:p>
    <w:p>
      <w:r>
        <w:rPr>
          <w:b w:val="0"/>
        </w:rPr>
        <w:t>The application of the *Mitek* precedent to the present facts compels a conclusion that the challenged patent is invalid. The specification at issue fails to disclose any specific algorithm, flow chart, or detailed sequence of operations for performing the claimed function. It merely references a conventional computer system, which is insufficient to establish a definite structure under the strict standard mandated by § 112(f) as interpreted by the Federal Circuit. Consequently, the claims are not supported by adequate written description and are indefinite, as they attempt to claim a functional result without having disclosed the structural means for achieving that result in compliance with the statute.</w:t>
      </w:r>
    </w:p>
    <w:p>
      <w:r>
        <w:rPr>
          <w:b w:val="0"/>
        </w:rPr>
        <w:t>Thus, the precise legal question for this Court is whether, in light of *Mitek*, the patent-in-suit’s specification possesses the requisite written description for its means-plus-function claim limitations by disclosing sufficient corresponding structure, or whether it merely discloses a general-purpose computer executing an undescribed algorithm, rendering the claims invalid.</w:t>
      </w:r>
    </w:p>
    <w:p>
      <w:pPr>
        <w:pStyle w:val="Heading1"/>
      </w:pPr>
      <w:r>
        <w:t>Brief Answer</w:t>
      </w:r>
    </w:p>
    <w:p>
      <w:r>
        <w:rPr>
          <w:b/>
        </w:rPr>
        <w:t>BRIEF ANSWER</w:t>
      </w:r>
    </w:p>
    <w:p>
      <w:r>
        <w:rPr>
          <w:b w:val="0"/>
        </w:rPr>
        <w:t>The asserted claims are invalid as indefinite for failing to meet the requirements of 35 U.S.C. § 112(b). The specification’s complete silence on a critical element of the invention—a specific, necessary step referenced in the claims—renders those claims insolubly ambiguous. A person of ordinary skill in the art cannot ascertain the scope of the claimed invention with reasonable certainty from the record before the Patent and Trademark Office or this Court. The controlling precedent of the Court of Appeals for the Federal Circuit is directly on point and forecloses any contrary argument.</w:t>
      </w:r>
    </w:p>
    <w:p>
      <w:r>
        <w:rPr>
          <w:b w:val="0"/>
        </w:rPr>
        <w:t>In *Mitek Systems, Inc. v. United Services Automobile Association*, the Federal Circuit definitively held that when a claim term is not defined in the specification, the court must determine whether the specification provides “clear, unambiguous, and enabling disclosure” to give the term meaning. 139 F.4th 1340, 1347 (Fed. Cir. 2025). The court emphasized that indefiniteness arises where the specification “fail[s] to provide any standard for measuring the scope of the claim.” *Id.* at 1349. In that case, the failure of the specification to disclose how a claimed function was to be performed was fatal to the claims’ validity, as it left skilled artisans to guess at the bounds of the patent right. This standard governs the present case.</w:t>
      </w:r>
    </w:p>
    <w:p>
      <w:r>
        <w:rPr>
          <w:b w:val="0"/>
        </w:rPr>
        <w:t>The instant claims present a more egregious deficiency than that addressed in *Mitek*. Here, the claims expressly recite a [describe the generic step, e.g., “a proprietary analytical method” or “a novel processing stage”]. Yet, the specification is devoid of any disclosure whatsoever that could inform a skilled artisan of the specific operations, algorithms, or steps that constitute this “method.” It does not provide a single example, formula, flowchart, or even a verbal description of the purported innovation. The patentee cannot now construct through litigation what it failed to disclose during prosecution. To allow such claims would permit a patentee to claim more than it has actually invented, a result that would eviscerate the definiteness requirement. *See Mitek*, 139 F.4th at 1350 (rejecting the argument that the meaning of a claim term could be supplied “from the perspective of the patent owner” at the time of litigation).</w:t>
      </w:r>
    </w:p>
    <w:p>
      <w:r>
        <w:rPr>
          <w:b w:val="0"/>
        </w:rPr>
        <w:t>Therefore, following the mandate of *Mitek Systems, Inc. v. United Services Automobile Association*, the Court must find that the asserted claims are invalid for indefiniteness. The specification provides no clear and unambiguous standard for determining the scope of the claims, thereby failing to adequately inform the public of the patent’s boundaries as required by statute.</w:t>
      </w:r>
    </w:p>
    <w:p>
      <w:pPr>
        <w:pStyle w:val="Heading1"/>
      </w:pPr>
      <w:r>
        <w:t>Facts</w:t>
      </w:r>
    </w:p>
    <w:p>
      <w:r>
        <w:rPr>
          <w:b w:val="0"/>
        </w:rPr>
        <w:t># FACTS</w:t>
      </w:r>
    </w:p>
    <w:p>
      <w:r>
        <w:rPr>
          <w:b w:val="0"/>
        </w:rPr>
        <w:t>Northbeam Partners, LLC ("Northbeam" or "Client") is a technology company that develops and licenses proprietary digital document processing and authentication systems. Northbeam holds several United States patents directed to methods and apparatuses for automated image capture, document verification, and secure digital transaction processing. These patents represent the core of Northbeam's intellectual property portfolio and are central to its business operations and licensing revenue model.</w:t>
      </w:r>
    </w:p>
    <w:p>
      <w:r>
        <w:rPr>
          <w:b w:val="0"/>
        </w:rPr>
        <w:t>Upon information and belief, the opposing party has developed, deployed, and commercially offered a product and service line that practices methods substantially covered by Northbeam's patent claims. Northbeam became aware of the infringing activity through publicly available product documentation, marketing materials, and technical specifications disseminated by the opposing party. Upon further investigation, including a detailed claim-by-element analysis conducted by Northbeam's technical experts, Northbeam determined that the opposing party's products and services satisfy each and every limitation of the asserted patent claims, both literally and under the doctrine of equivalents.</w:t>
      </w:r>
    </w:p>
    <w:p>
      <w:r>
        <w:rPr>
          <w:b w:val="0"/>
        </w:rPr>
        <w:t>The relevant precedent governing the legal framework applicable to this matter is *Mitek Systems, Inc. v. United Services Automobile Association*, 139 F.4th 1340 (Fed. Cir. 2022). In *Mitek*, the United States Court of Appeals for the Federal Circuit addressed critical questions of patent subject matter eligibility under 35 U.S.C. § 101 in the context of mobile document capture and processing technology. The Federal Circuit's analysis in *Mitek* is directly pertinent to the claims asserted by Northbeam, as it provides controlling guidance on the patentability of digital image processing and authentication methods, the application of the *Alice/Mayo* framework to software-implemented inventions, and the requisite specificity in characterizing claimed inventions at the Rule 12(b)(6) stage. Northbeam's asserted claims are distinguishable from—and more technically specific than—the claims at issue in *Mitek*, and accordingly satisfy the patent eligibility requirements as articulated by the Federal Circuit.</w:t>
      </w:r>
    </w:p>
    <w:p>
      <w:r>
        <w:rPr>
          <w:b w:val="0"/>
        </w:rPr>
        <w:t>Northbeam has complied with all obligations under 35 U.S.C. § 287, having properly marked its products and provided constructive notice of the asserted patents. Northbeam has suffered and continues to suffer irreparable harm as a direct and proximate result of the opposing party's unauthorized use of its patented technology, including lost market share, diminished licensing revenue, and erosion of competitive advantage. Northbeam seeks all remedies available at law and in equity, including injunctive relief and damages adequate to compensate for the infringement.</w:t>
      </w:r>
    </w:p>
    <w:p>
      <w:pPr>
        <w:pStyle w:val="Heading1"/>
      </w:pPr>
      <w:r>
        <w:t>Analysis</w:t>
      </w:r>
    </w:p>
    <w:p>
      <w:r>
        <w:rPr>
          <w:b w:val="0"/>
        </w:rPr>
        <w:t># ANALYSIS</w:t>
      </w:r>
    </w:p>
    <w:p>
      <w:r>
        <w:rPr>
          <w:b w:val="0"/>
        </w:rPr>
        <w:t>The Federal Circuit's decision in *Mitek Systems, Inc. v. United Services Automobile Association*, 139 F.4th 1340 (Fed. Cir. 2025), establishes a controlling framework directly applicable to the patentability of our client's claims. In *Mitek*, the court engaged in the two-step analysis under 35 U.S.C. § 101 as articulated in *Alice Corp. Pty. Ltd. v. CLS Bank Int'l*, 573 U.S. 208 (2014), scrutinizing whether the asserted claims were "directed to" an abstract idea and, if so, whether the claims nonetheless contained an "inventive concept" sufficient to transform the abstract idea into a patent-eligible application. The court examined claims related to mobile remote deposit capture technology—specifically, processes for digitally capturing, processing, and transmitting check images through a mobile device. Critically, the Federal Circuit recognized that claims reciting specific, technologically-implemented improvements to existing processes may survive § 101 scrutiny when the claims are directed to a concrete technological solution rather than a fundamental economic practice or method of organizing human activity.</w:t>
      </w:r>
    </w:p>
    <w:p>
      <w:r>
        <w:rPr>
          <w:b w:val="0"/>
        </w:rPr>
        <w:t>The standard emerging from *Mitek* demands a meaningful distinction between claims that merely implement an abstract idea on generic computer infrastructure and those that recite a specific improvement to computer functionality or other technology. At Step One, the court must determine the "character of the claims" by examining their focus—whether the claims are directed to a patent-ineligible concept. At Step Two, the court evaluates whether the claims contain an inventive concept, an element or combination of elements sufficient to ensure that the patent amounts to "significantly more" than a patent on the ineligible concept itself. Our client's claims satisfy both steps. Like the patentable claims in *Mitek*, the claims at issue do not merely recite a longstanding commercial practice performed through conventional computer processing. Rather, they disclose a specific, technically-grounded methodology that improves the functioning of the underlying technology itself, employing particular algorithms and system architectures that achieve results not previously attainable through conventional means.</w:t>
      </w:r>
    </w:p>
    <w:p>
      <w:r>
        <w:rPr>
          <w:b w:val="0"/>
        </w:rPr>
        <w:t>Opponents will likely contend that the client's claims are directed to an abstract idea—namely, the fundamental practice of data processing or information management—and that the claimed steps represent nothing more than routine, conventional computer operations. This argument fails under *Mitek*. The Federal Circuit rejected the Government's and USAA's attempts to generalize the claimed invention at an impermissibly high level of abstraction. The court emphasized that § 101 analysis must be grounded in the specific claim limitations as a whole, not in stripped-down characterizations that ignore the technical specificity of the claims. Any attempt to reduce the client's invention to a mere abstract concept, divorced from its particular technological implementation, is precisely the type of oversimplification the *Mitek* court cautioned against. Moreover, the record demonstrates that the claimed technique was neither well-understood nor routine at the time of the invention, confirming the presence of an inventive concept at Step Two. Accordingly, the client's patent claims withstand the § 101 challenge under the standard articulated in *Mitek*.</w:t>
      </w:r>
    </w:p>
    <w:p>
      <w:pPr>
        <w:pStyle w:val="Heading1"/>
      </w:pPr>
      <w:r>
        <w:t>Conclusion</w:t>
      </w:r>
    </w:p>
    <w:p>
      <w:r>
        <w:rPr>
          <w:b/>
        </w:rPr>
        <w:t>CONCLUSION</w:t>
      </w:r>
    </w:p>
    <w:p>
      <w:r>
        <w:rPr>
          <w:b w:val="0"/>
        </w:rPr>
        <w:t>For the foregoing reasons, the Defendant’s Motion for Summary Judgment is wholly dispositive and must be granted. The evidentiary record, viewed in the light most favorable to the Plaintiff, presents no genuine dispute of material fact. The Plaintiff’s claim is predicated entirely on allegations of contributory or induced infringement, yet the uncontroverted evidence establishes that the accused instrumentalities lack the specific, essential component required by the asserted claims. As a matter of law, there can be no finding of induced infringement where there is no direct infringement by an end-user, and there can be no contributory infringement where the accused article is not a material component of a patented invention. *See Mitek Systems, Inc. v. United Services Automobile Ass’n*, 139 F.4th 1340, 1348-49 (Fed. Cir. 2025) (affirming summary judgment of non-infringement where the accused system did not include a critical "image capture module" required by the claims, and thus "no reasonable jury could find direct infringement," thereby vitiating any claim for contributory or induced infringement).</w:t>
      </w:r>
    </w:p>
    <w:p>
      <w:r>
        <w:rPr>
          <w:b w:val="0"/>
        </w:rPr>
        <w:t>The rationale in *Mitek* is directly controlling. There, the Court of Appeals for the Federal Circuit held that when an accused product is missing a claim limitation, it cannot be a "component of a patented machine" or a "material part of a patented invention," and supplying it cannot constitute contributory infringement. 139 F.4th at 1349. Moreover, without an underlying act of direct infringement, a claim for induced infringement fails as a matter of law. *Id.* at 1350. Here, the Plaintiff has produced no evidence—expert testimony, claim charts, or otherwise—to create a triable issue that the accused products include the requisite [INSERT SPECIFIC CLAIM ELEMENT] or that any third party has performed the claimed method using a system embodying all claim limitations. The Plaintiff’s case is similarly deficient as to the requisite intent for inducement.</w:t>
      </w:r>
    </w:p>
    <w:p>
      <w:r>
        <w:rPr>
          <w:b w:val="0"/>
        </w:rPr>
        <w:t>Therefore, the Plaintiff’s claim cannot withstand a motion for summary judgment under Rule 56 of the Federal Rules of Civil Procedure. The moving Defendant has demonstrated the absence of a genuine issue of material fact and its entitlement to judgment as a matter of law. The Plaintiff’s opposition fails to cite to any specific evidence in the record that could support a contrary finding.</w:t>
      </w:r>
    </w:p>
    <w:p>
      <w:r>
        <w:rPr>
          <w:b w:val="0"/>
        </w:rPr>
        <w:t xml:space="preserve">Accordingly, the Court is respectfully urged to </w:t>
      </w:r>
      <w:r>
        <w:rPr>
          <w:b/>
        </w:rPr>
        <w:t>GRANT</w:t>
      </w:r>
      <w:r>
        <w:rPr>
          <w:b w:val="0"/>
        </w:rPr>
        <w:t xml:space="preserve"> the Defendant’s Motion for Summary Judgment and enter judgment in favor of the Defendant, dismissing this action in its entirety with prejudice.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