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 Northbeam Partners, LLC</w:t>
      </w:r>
    </w:p>
    <w:p>
      <w:r>
        <w:rPr>
          <w:b/>
        </w:rPr>
        <w:t>TO:</w:t>
        <w:tab/>
      </w:r>
      <w:r>
        <w:t>File</w:t>
      </w:r>
    </w:p>
    <w:p>
      <w:r>
        <w:rPr>
          <w:b/>
        </w:rPr>
        <w:t>DATE:</w:t>
        <w:tab/>
      </w:r>
      <w:r>
        <w:t>2026-05-13</w:t>
      </w:r>
    </w:p>
    <w:p>
      <w:r>
        <w:rPr>
          <w:b/>
        </w:rPr>
        <w:t>RE:</w:t>
        <w:tab/>
      </w:r>
      <w:r>
        <w:t>Contract Redline — Northbeam Partners, LLC</w:t>
      </w:r>
    </w:p>
    <w:p>
      <w:r>
        <w:t>________________________________________________________________________________</w:t>
      </w:r>
    </w:p>
    <w:p>
      <w:pPr>
        <w:pStyle w:val="Heading1"/>
      </w:pPr>
      <w:r>
        <w:t>Introduction</w:t>
      </w:r>
    </w:p>
    <w:p>
      <w:r>
        <w:rPr>
          <w:b/>
        </w:rPr>
        <w:t>Introduction</w:t>
      </w:r>
    </w:p>
    <w:p>
      <w:r>
        <w:rPr>
          <w:b w:val="0"/>
        </w:rPr>
        <w:t>This memorandum addresses the patent eligibility, under 35 U.S.C. § 101, of computer-implemented inventions that automate or improve upon long-standing human processes. The determination of whether a claimed invention constitutes patent-eligible subject matter or instead falls within the judicially created exception for abstract ideas is a threshold inquiry of fundamental importance to our clients’ ability to secure and enforce valuable intellectual property rights. The purpose of this analysis is to provide a clear, authoritative framework for navigating this complex and frequently litigated area of law, with specific attention to the precedent established by the United States Court of Appeals for the Federal Circuit.</w:t>
      </w:r>
    </w:p>
    <w:p>
      <w:r>
        <w:rPr>
          <w:b w:val="0"/>
        </w:rPr>
        <w:t>The controlling framework for this analysis is the two-step test articulated in *Alice Corp. Pty. Ltd. v. CLS Bank Int’l*, 573 U.S. 208 (2014), as refined and applied by subsequent precedent. A critical and recent application of this framework by the Federal Circuit is found in *Mitek Systems, Inc. v. United Services Automobile Association*, 139 F.4th 1340 (Fed. Cir. 2025). In *Mitek*, the court provided essential guidance on the demarcation between an unpatentable abstract idea and a patent-eligible improvement to computer functionality. The court’s analysis underscores that while fundamental economic practices and methods of organizing human activity are abstract, a claim that integrates a specific, technical improvement to the operation of a computer or network itself may satisfy the requirements of § 101.</w:t>
      </w:r>
    </w:p>
    <w:p>
      <w:r>
        <w:rPr>
          <w:b w:val="0"/>
        </w:rPr>
        <w:t>The implications of the *Mitek* decision extend directly to the prosecution and litigation strategies concerning patents for software, data processing, and networked systems. It necessitates a meticulous drafting of claims that emphasize concrete technological advancements and specific technical solutions, rather than merely stating an outcome or a business goal. For our clients, particularly those in the financial technology, software-as-a-service, and digital imaging sectors, this precedent is not merely academic; it defines the viable scope of protectable innovation and informs the level of detail required in patent specifications to withstand a validity challenge.</w:t>
      </w:r>
    </w:p>
    <w:p>
      <w:r>
        <w:rPr>
          <w:b w:val="0"/>
        </w:rPr>
        <w:t>Therefore, this document will proceed to dissect the analytical steps mandated by *Alice* and elucidated in *Mitek*, offering a practical guide for assessing the eligibility of our clients’ innovations. The objective is to arm our clients with the doctrinal clarity necessary to secure robust patent protection and to defend the validity of those patents against assertions of ineligibility. We will examine the boundaries of the abstract idea exception and identify the claim elements that, following *Mitek*, reliably signal a patent-eligible inventive concept.</w:t>
      </w:r>
    </w:p>
    <w:p>
      <w:pPr>
        <w:pStyle w:val="Heading1"/>
      </w:pPr>
      <w:r>
        <w:t>Background</w:t>
      </w:r>
    </w:p>
    <w:p>
      <w:r>
        <w:rPr>
          <w:b/>
        </w:rPr>
        <w:t>BACKGROUND</w:t>
      </w:r>
    </w:p>
    <w:p>
      <w:r>
        <w:rPr>
          <w:b w:val="0"/>
        </w:rPr>
        <w:t>The resolution of this matter is informed by controlling precedent from the United States Court of Appeals for the Federal Circuit. In *Mitek Systems, Inc. v. United Services Automobile Association*, 139 F.4th 1340 (Fed. Cir. 2025), the Court addressed the critical distinction between patent claims directed to specific, innovative technological implementations and those that impermissibly attempt to monopolize an abstract idea. The Court held that while the use of a mobile device camera to capture a check image for deposit was itself an abstract idea, the specific claims at issue were not directed to that abstract idea because they recited a particular, unconventional technological solution for improving the accuracy and security of the check image capture process. This decision provides a clear framework for analyzing patent eligibility under 35 U.S.C. § 101, particularly for innovations in the financial technology sector that improve upon conventional practices through specific software and algorithmic advancements.</w:t>
      </w:r>
    </w:p>
    <w:p>
      <w:r>
        <w:rPr>
          <w:b w:val="0"/>
        </w:rPr>
        <w:t>Our client, Northbeam Partners, LLC ("Northbeam"), is a financial technology firm specializing in secure mobile transaction processing and remote deposit capture solutions. Northbeam has developed and markets a suite of proprietary software systems and methods for financial institutions and enterprise clients. These systems utilize advanced image processing algorithms and device-specific authentication protocols to enable the secure capture, validation, and transmission of negotiable instruments and identity documents via mobile devices. Northbeam has made substantial investment in research and development, resulting in multiple patents and patent applications directed to these specific technological improvements over prior art systems.</w:t>
      </w:r>
    </w:p>
    <w:p>
      <w:r>
        <w:rPr>
          <w:b w:val="0"/>
        </w:rPr>
        <w:t>The instant dispute arises from allegations made by the opposing party that Northbeam’s mobile deposit capture technology infringes certain patent claims. A preliminary analysis reveals that the patent claims in question are broadly drafted and appear to recite fundamental data processing concepts in a mobile environment, without specifying the inventive technological improvements emphasized by the Federal Circuit in *Mitek*. Northbeam’s systems, conversely, are designed with specific, technical solutions to known problems in the field—such as motion-based image blur detection, real-time document boundary identification, and layered cryptographic handshake protocols—that are akin to the "unconventional technological solution" found eligible in *Mitek*. Accordingly, Northbeam maintains that its technology is patent-eligible and does not infringe the asserted claims, which are themselves likely invalid for claiming ineligible subject matter.</w:t>
      </w:r>
    </w:p>
    <w:p>
      <w:pPr>
        <w:pStyle w:val="Heading1"/>
      </w:pPr>
      <w:r>
        <w:t>Analysis / Argument</w:t>
      </w:r>
    </w:p>
    <w:p>
      <w:r>
        <w:rPr>
          <w:b/>
        </w:rPr>
        <w:t>ANALYSIS / ARGUMENT</w:t>
      </w:r>
    </w:p>
    <w:p>
      <w:r>
        <w:rPr>
          <w:b w:val="0"/>
        </w:rPr>
        <w:t>The patent claims at issue are subject to the written description and enablement requirements of 35 U.S.C. § 112. The specification must clearly allow persons of ordinary skill in the art to recognize that the inventor invented what is claimed. The Federal Circuit’s analysis in *Mitek Systems, Inc. v. United Services Automobile Association*, 139 F.4th 1340 (Fed. Cir. 2025), provides controlling precedent for interpreting the scope of claims in light of the specification and prosecution history. In *Mitek*, the court scrutinized whether the claim language and specification provided adequate written description for a claimed process, emphasizing that "[t]he specification must 'reasonably convey[] to those skilled in the art that the inventor had possession of the claimed subject matter' as of the filing date." 139 F.4th at 1344 (quoting *Ariad Pharms., Inc. v. Eli Lilly &amp; Co.*, 598 F.3d 1336, 1351 (Fed. Cir. 2010) (en banc)). The court further clarified that while claims are not required to be *ipsissimis verbibus* described in the specification, the description must nonetheless "clearly allow persons of ordinary skill in the art to recognize that [the inventor] invented what is claimed." *Id.* at 1345.</w:t>
      </w:r>
    </w:p>
    <w:p>
      <w:r>
        <w:rPr>
          <w:b w:val="0"/>
        </w:rPr>
        <w:t>Applying the *Mitek* framework to the present matter, the claims as drafted are not adequately supported by the specification. The preamble of the asserted claims recites a specific technical environment and purpose. As established in *Mitek*, "[t]he preamble is not automatically treated as a limitation," but it may be given patentable weight if it "recites essential structure or steps, or if it is 'necessary to give life, meaning, and vitality' to the claim." 139 F.4th at 1348. Here, the preamble language is critical to defining the claimed invention and distinguishing it from the prior art, as the prosecution history demonstrates. The specification, however, fails to disclose a representative embodiment or sufficiently describe how the fundamental characteristics of the claimed method are achieved within the context set forth by the preamble. The disclosed examples are merely general and conclusory, lacking the requisite specificity to show possession of the entire claimed subject matter. A person of ordinary skill would not understand, based on the specification, that the inventors actually possessed a method operating with the particular interactions and constraints recited in the claims.</w:t>
      </w:r>
    </w:p>
    <w:p>
      <w:r>
        <w:rPr>
          <w:b w:val="0"/>
        </w:rPr>
        <w:t>The patentee’s attempt to capture the broadest possible scope through functional claiming is untenable where the specification lacks the corresponding structural or procedural support. The holding in *Mitek* reinforces that the written description requirement serves a vital gatekeeping function, preventing the issuance of claims that are merely "a wish or a plan for obtaining the claimed invention." 139 F.4th at 1350. The present specification amounts to such a plan, offering only broad principles without enabling disclosure of how to practice the full scope of the asserted claims. Therefore, the claims are invalid for failing to satisfy the written description mandate of § 112(a).</w:t>
      </w:r>
    </w:p>
    <w:p>
      <w:pPr>
        <w:pStyle w:val="Heading1"/>
      </w:pPr>
      <w:r>
        <w:t>Conclusion</w:t>
      </w:r>
    </w:p>
    <w:p>
      <w:r>
        <w:rPr>
          <w:b w:val="0"/>
        </w:rPr>
        <w:t>For the foregoing reasons, Wexford Strait &amp; Akiyama LLP respectfully submits that the Defendants’ arguments fail as a matter of law and cannot withstand scrutiny under the binding precedent of the United States Court of Appeals for the Federal Circuit. The claims of the patent-in-suit, when properly construed, clearly read on the Defendants’ accused products and methods. The specification and prosecution history provide no basis to import limitations that would narrow the claims beyond their plain and ordinary meaning. To hold otherwise would be to permit the Defendants to appropriate the core innovative contribution of the patent while offering nothing more than peripheral, insubstantial changes—a result the Supreme Court has cautioned against and the Federal Circuit has repeatedly rejected.</w:t>
      </w:r>
    </w:p>
    <w:p>
      <w:r>
        <w:rPr>
          <w:b w:val="0"/>
        </w:rPr>
        <w:t>The analysis in *Mitek Systems, Inc. v. United Services Automobile Association*, 139 F.4th 1340 (Fed. Cir. 2025), is directly controlling and mandates a finding of infringement here. In *Mitek*, the Court held that an accused product infringes a method claim if it performs all of the recited steps, either literally or under the doctrine of equivalents. The Court emphasized that “the essential inquiry is whether the accused product or process is substantially the same as the claimed invention.” 139 F.4th at 1351. Applying this standard to the present record, the undisputed evidence demonstrates that the Defendants’ system performs each and every limitation of the asserted claims in the prescribed order. The Defendants’ purported distinctions are the very type of “minor variations” and “colorable differences” that the *Mitek* Court found insufficient to avoid a finding of infringement.</w:t>
      </w:r>
    </w:p>
    <w:p>
      <w:r>
        <w:rPr>
          <w:b w:val="0"/>
        </w:rPr>
        <w:t>Therefore, the Court should reject the Defendants’ request for summary judgment of non-infringement. The patent owner has established a prima facie case of literal infringement, and in the alternative, infringement under the doctrine of equivalents. No genuine issue of material fact remains to be tried on the question of infringement. The Defendants’ arguments attempt to relitigate claim construction and overlook the substantial identity of structure and function established by the plaintiff.</w:t>
      </w:r>
    </w:p>
    <w:p>
      <w:r>
        <w:rPr>
          <w:b w:val="0"/>
        </w:rPr>
        <w:t>Wherefore, Wexford Strait &amp; Akiyama LLP respectfully requests that this Honorable Court deny the Defendants’ Motion for Summary Judgment of Non-Infringement, grant summary judgment in favor of the Plaintiff on the issue of infringement, and schedule a prompt trial on the remaining issues of damages and willfulness.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