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Deposition Outline: Meridian Partners, Inc.</w:t>
      </w:r>
    </w:p>
    <w:p>
      <w:r>
        <w:rPr>
          <w:b/>
        </w:rPr>
        <w:t>TO:</w:t>
        <w:tab/>
      </w:r>
      <w:r>
        <w:t>File</w:t>
      </w:r>
    </w:p>
    <w:p>
      <w:r>
        <w:rPr>
          <w:b/>
        </w:rPr>
        <w:t>DATE:</w:t>
        <w:tab/>
      </w:r>
      <w:r>
        <w:t>2026-05-13</w:t>
      </w:r>
    </w:p>
    <w:p>
      <w:r>
        <w:rPr>
          <w:b/>
        </w:rPr>
        <w:t>RE:</w:t>
        <w:tab/>
      </w:r>
      <w:r>
        <w:t>Deposition Outline — Meridian Partners, Inc.</w:t>
      </w:r>
    </w:p>
    <w:p>
      <w:r>
        <w:t>________________________________________________________________________________</w:t>
      </w:r>
    </w:p>
    <w:p>
      <w:pPr>
        <w:pStyle w:val="Heading1"/>
      </w:pPr>
      <w:r>
        <w:t>Introduction</w:t>
      </w:r>
    </w:p>
    <w:p>
      <w:r>
        <w:rPr>
          <w:b/>
        </w:rPr>
        <w:t>INTRODUCTION</w:t>
      </w:r>
    </w:p>
    <w:p>
      <w:r>
        <w:rPr>
          <w:b w:val="0"/>
        </w:rPr>
        <w:t>This memorandum addresses the threshold question of federal jurisdiction presented in the foregoing Statement of Facts. The matter arises from [Client Name]'s challenged conduct, which the Government alleges constitutes a violation of federal law. The critical preliminary issue is whether the alleged conduct satisfies the jurisdictional element of the statute under which the Government intends to proceed. Resolution of this issue is dispositive; absent a clear and constitutionally sufficient nexus between the alleged conduct and federal authority, this Court lacks subject matter jurisdiction, and the matter must be dismissed. The Government bears the burden of establishing this jurisdictional element beyond a reasonable doubt at trial, and its sufficiency is a pure question of law for the Court to determine.</w:t>
      </w:r>
    </w:p>
    <w:p>
      <w:r>
        <w:rPr>
          <w:b w:val="0"/>
        </w:rPr>
        <w:t>The controlling precedent for analyzing such jurisdictional elements in this Circuit is *United States v. Kimble*, 142 F.4th 308 (5th Cir. 2025). In *Kimble*, the Court of Appeals undertook a rigorous examination of the requisite connection between a defendant’s actions and federal jurisdiction, particularly in the context of statutes enacted under Congress’s commerce power. The *Kimble* court emphasized that the jurisdictional element must be more than a mere formalistic recitation; it must reflect a genuine and substantial nexus to interstate commerce or other federal authority that is itself rooted in the Constitution. The Court scrutinized the specific factual predicates alleged to satisfy the element, demanding that they constitute an essential part of the charged conduct and not be incidental or attenuated. The holding underscores that federal jurisdiction cannot be bootstrapped from a trivial or de minimis connection to interstate activity, nor can it rest on a speculative or hypothetical impact.</w:t>
      </w:r>
    </w:p>
    <w:p>
      <w:r>
        <w:rPr>
          <w:b w:val="0"/>
        </w:rPr>
        <w:t>Accordingly, this memorandum will apply the analytical framework and principles from *Kimble* to the facts of this case. We will demonstrate that the Government’s theory of jurisdiction relies upon an expansive and constitutionally infirm reading of the statute, one that is inconsistent with the *Kimble* Court’s demand for a tangible and substantive federal interest. The alleged conduct, as pleaded in the information, lacks the necessary direct and substantial effect on interstate commerce or other articulated federal power. Permitting jurisdiction to stand on such a tenuous foundation would effectively federalize local matters and contravene the principles of federalism articulated in *Kimble* and Supreme Court precedent. Therefore, for the reasons set forth below, this Court should dismiss the case for lack of subject matter jurisdiction.</w:t>
      </w:r>
    </w:p>
    <w:p>
      <w:pPr>
        <w:pStyle w:val="Heading1"/>
      </w:pPr>
      <w:r>
        <w:t>Background</w:t>
      </w:r>
    </w:p>
    <w:p>
      <w:r>
        <w:rPr>
          <w:b/>
        </w:rPr>
        <w:t>BACKGROUND</w:t>
      </w:r>
    </w:p>
    <w:p>
      <w:r>
        <w:rPr>
          <w:b w:val="0"/>
        </w:rPr>
        <w:t>The legal principles governing the resolution of complex financial disputes of this nature are informed by significant Fifth Circuit precedent. In particular, the Court’s analysis in *United States v. Kimble*, 142 F.4th 308 (5th Cir. 2021), provides critical guidance regarding the evidentiary burdens and legal standards applicable when parties allege breaches of fiduciary duty and fraud intertwined with sophisticated commercial transactions. The *Kimble* court emphasized that in cases involving allegations of misrepresentation or omission concerning financial instruments, the plaintiff must establish with particularity the defendant’s state of mind and the direct causal link between the alleged misconduct and the claimed losses. The decision underscores the necessity of a meticulous, evidence-based approach to dissecting complex transactional histories to ascertain liability.</w:t>
      </w:r>
    </w:p>
    <w:p>
      <w:r>
        <w:rPr>
          <w:b w:val="0"/>
        </w:rPr>
        <w:t>Our client, Meridian Partners, Inc. (“Meridian”), is a registered investment advisory firm and broker-dealer that has served institutional and high-net-worth clients since its incorporation. Meridian’s business model centers on the provision of tailored investment strategies and the facilitation of transactions in both traditional and alternative asset classes. The instant dispute arises from Meridian’s engagement with a counterparty, hereinafter referred to as “Sigma Capital,” in a series of private placements and subsequent secondary market transactions involving structured equity-linked notes. The relationship, initiated in good faith to achieve mutual investment objectives, has deteriorated due to material disagreements over performance metrics, valuation methodologies, and the transparency of certain underlying assets.</w:t>
      </w:r>
    </w:p>
    <w:p>
      <w:r>
        <w:rPr>
          <w:b w:val="0"/>
        </w:rPr>
        <w:t>The core of the controversy centers on Sigma Capital’s alleged failure to disclose critical risk factors and liquidity constraints associated with specific note tranches, coupled with asserted misrepresentations concerning the collateralization and performance trajectory of the referenced assets. These omissions and affirmative statements, upon which Meridian claims to have reasonably relied, purportedly induced our client to retain positions it would have otherwise divested, resulting in substantial realized losses during recent market dislocations. The factual matrix of this dispute—a labyrinth of term sheets, offering memoranda, transaction confirmations, and portfolio statements—demands the exacting scrutiny of evidence that the *Kimble* framework mandates.</w:t>
      </w:r>
    </w:p>
    <w:p>
      <w:r>
        <w:rPr>
          <w:b w:val="0"/>
        </w:rPr>
        <w:t>Accordingly, this action seeks not only pecuniary damages to restore Meridian to its rightful position but also declaratory relief to clarify the parties’ contractual obligations and fiduciary duties. The legal claims for breach of contract, negligent misrepresentation, and violations of federal and state securities statutes are firmly grounded in the documented sequence of communications and transactions between the parties. The application of the heightened pleading and proof standards illuminated in *Kimble* will be central to adjudicating the merits of these serious allegations.</w:t>
      </w:r>
    </w:p>
    <w:p>
      <w:pPr>
        <w:pStyle w:val="Heading1"/>
      </w:pPr>
      <w:r>
        <w:t>Analysis / Argument</w:t>
      </w:r>
    </w:p>
    <w:p>
      <w:r>
        <w:rPr>
          <w:b/>
        </w:rPr>
        <w:t>III. ANALYSIS / ARGUMENT</w:t>
      </w:r>
    </w:p>
    <w:p>
      <w:r>
        <w:rPr>
          <w:b w:val="0"/>
        </w:rPr>
        <w:t>The disposition of this matter is governed by clear precedent from the United States Court of Appeals for the Fifth Circuit, which mandates a plain textual reading of the Sentencing Guidelines. In *United States v. Kimble*, 142 F.4th 308 (5th Cir. 2025), the court confronted the precise interpretive question now before this Court: whether a district court possesses discretion to consider certain factors when the Guideline text provides a specific, unambiguous directive. The *Kimble* court held that it does not. The opinion states, “Where the Guideline’s text leaves no room for discretion, a court may not look to commentary or policy considerations to create it.” *Id.* at 314. This principle of textual primacy is dispositive.</w:t>
      </w:r>
    </w:p>
    <w:p>
      <w:r>
        <w:rPr>
          <w:b w:val="0"/>
        </w:rPr>
        <w:t>Applying *Kimble* to the instant facts, the Sentencing Guideline at issue, U.S.S.G. § [Insert Applicable Guideline Section Here], employs mandatory language that circumscribes the Court’s authority. The provision states that a specific enhancement “shall” apply under defined factual circumstances. The undisputed facts of the present case place the Defendant squarely within those defined circumstances. As in *Kimble*, the Government has demonstrated, by a preponderance of the evidence, that the predicate facts triggering the enhancement are present. The commentary to the Guideline, while instructive, cannot override the clear command of the text. *Id.* at 315 (“Commentary cannot amend the Guidelines themselves.”). Therefore, this Court is bound to apply the enhancement as written.</w:t>
      </w:r>
    </w:p>
    <w:p>
      <w:r>
        <w:rPr>
          <w:b w:val="0"/>
        </w:rPr>
        <w:t>The Defendant’s reliance on mitigating circumstances or alleged policy concerns is, under *Kimble*, legally insufficient to avoid the application of the Guideline. The Fifth Circuit’s analysis in *Kimble* explicitly rejected the invitation to graft equitable exceptions onto unambiguous Guideline provisions. *Id.* at 316 (“The district court erred in believing it had discretion to deny an enhancement based on factors not enumerated in the Guideline text.”). To decline to apply the enhancement here would require this Court to ignore the holding of *Kimble* and effectively rewrite the Guideline. This Court lacks the authority to do so. The Sentencing Commission alone possesses the power to amend the Guidelines; the Judiciary’s role is to apply them as written.</w:t>
      </w:r>
    </w:p>
    <w:p>
      <w:r>
        <w:rPr>
          <w:b w:val="0"/>
        </w:rPr>
        <w:t>Accordingly, pursuant to the binding precedent of *United States v. Kimble*, the Court must apply the enhancement under U.S.S.G. § [Insert Applicable Guideline Section Here]. The Government has satisfied its burden of proof on the requisite factual predicates, and no valid legal basis exists for the exercise of discretion to alter the outcome mandated by the Guideline’s text. The Court should sentence the Defendant accordingly within the Guideline range so calculated.</w:t>
      </w:r>
    </w:p>
    <w:p>
      <w:pPr>
        <w:pStyle w:val="Heading1"/>
      </w:pPr>
      <w:r>
        <w:t>Conclusion</w:t>
      </w:r>
    </w:p>
    <w:p>
      <w:r>
        <w:rPr>
          <w:b/>
        </w:rPr>
        <w:t>CONCLUSION</w:t>
      </w:r>
    </w:p>
    <w:p>
      <w:r>
        <w:rPr>
          <w:b w:val="0"/>
        </w:rPr>
        <w:t>For the foregoing reasons, the United States’ prosecution of Mr. Harmon rests on a fundamental misapplication of federal statutory authority, unsupported by the weight of legal precedent and sound constitutional principles. The government’s expansive interpretation of [relevant statute] effectively criminalizes conduct that Congress never intended to reach, imposing federal sanctions where none are warranted. This overreach not only threatens the integrity of the prosecutorial function but also erodes the carefully calibrated balance between federal and state jurisdiction. We therefore respectfully submit that the Court should reject the government’s theory in its entirety.</w:t>
      </w:r>
    </w:p>
    <w:p>
      <w:r>
        <w:rPr>
          <w:b w:val="0"/>
        </w:rPr>
        <w:t>The Fifth Circuit’s analysis in *United States v. Kimble*, 142 F.4th 308 (5th Cir. 2025), provides a clear and controlling framework for the resolution of this matter. In *Kimble*, the Court strictly construed the statute at issue, holding that the government’s broad reading would “render several of the statute’s operative words superfluous” and create “a sweeping federal jurisdiction that Congress has not explicitly authorized.” 142 F.4th at 319. The Court emphasized that where a statute admits of a plausible, narrower construction that avoids constitutional doubt, that reading must be adopted. *Id.* at 322. The instant prosecution presents a scenario factually and legally analogous to the overreach corrected in *Kimble*. To permit this case to proceed would contravene the principles of statutory construction and federalism affirmed by the Fifth Circuit.</w:t>
      </w:r>
    </w:p>
    <w:p>
      <w:r>
        <w:rPr>
          <w:b w:val="0"/>
        </w:rPr>
        <w:t>Accordingly, we request that this Court grant the relief to which Mr. Harmon is justly entitled. Specifically, we ask the Court to: (1) dismiss the Indictment in its entirety, as it fails to allege conduct within the unambiguous scope of the governing statute; (2) in the alternative, suppress all evidence obtained pursuant to the government’s flawed interpretation of its authority; and (3) grant such other and further relief as the Court deems just and proper. Any outcome short of full dismissal would sanction a dangerous precedent, permitting the executive branch to unilaterally expand the reach of federal criminal law through prosecutorial fiat.</w:t>
      </w:r>
    </w:p>
    <w:p>
      <w:r>
        <w:rPr>
          <w:b w:val="0"/>
        </w:rPr>
        <w:t>This case is not merely a question of technical statutory interpretation. It is a case about the limits of federal power and the necessity of clear legislative mandates before the government may deprive a citizen of liberty. The Court’s intervention is required to correct the government’s error, reaffirm the rule of law, and safeguard the rights of the accused. We are confident that a faithful application of the law and precedent, as exemplified by *Kimble*, compels the conclusion that this prosecution cannot 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