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Contract Redline: Saltspring Industries, Inc.</w:t>
      </w:r>
    </w:p>
    <w:p>
      <w:r>
        <w:rPr>
          <w:b/>
        </w:rPr>
        <w:t>TO:</w:t>
        <w:tab/>
      </w:r>
      <w:r>
        <w:t>File</w:t>
      </w:r>
    </w:p>
    <w:p>
      <w:r>
        <w:rPr>
          <w:b/>
        </w:rPr>
        <w:t>DATE:</w:t>
        <w:tab/>
      </w:r>
      <w:r>
        <w:t>2026-05-13</w:t>
      </w:r>
    </w:p>
    <w:p>
      <w:r>
        <w:rPr>
          <w:b/>
        </w:rPr>
        <w:t>RE:</w:t>
        <w:tab/>
      </w:r>
      <w:r>
        <w:t>Contract Redline — Saltspring Industries, Inc.</w:t>
      </w:r>
    </w:p>
    <w:p>
      <w:r>
        <w:t>________________________________________________________________________________</w:t>
      </w:r>
    </w:p>
    <w:p>
      <w:pPr>
        <w:pStyle w:val="Heading1"/>
      </w:pPr>
      <w:r>
        <w:t>Introduction</w:t>
      </w:r>
    </w:p>
    <w:p>
      <w:r>
        <w:rPr>
          <w:b/>
        </w:rPr>
        <w:t>Introduction</w:t>
      </w:r>
    </w:p>
    <w:p>
      <w:r>
        <w:rPr>
          <w:b w:val="0"/>
        </w:rPr>
        <w:t>This memorandum addresses the legal implications and analytical framework necessitated by the United States Supreme Court’s decision in *Free Speech Coalition, Inc. v. Paxton*, 606 U.S. 461 (2025). The Court’s ruling in *Paxton* represents a significant jurisprudential development concerning the First Amendment, the regulation of digital speech, and the permissible scope of state-level regulatory schemes targeting online content. The purpose of this document is to provide a comprehensive analysis of the decision, dissect its holdings, and delineate its operative effects upon existing and prospective legal paradigms. It is crafted to serve as a definitive resource for counsel, legislative drafters, and regulated entities navigating the post-*Paxton* legal landscape.</w:t>
      </w:r>
    </w:p>
    <w:p>
      <w:r>
        <w:rPr>
          <w:b w:val="0"/>
        </w:rPr>
        <w:t>The core dispute in *Free Speech Coalition* centered on a Texas statute imposing age-verification requirements and other content-based restrictions on websites hosting material deemed “harmful to minors.” The Court was tasked with reconciling these state police power objectives with the constitutional guarantees of free expression. In its analysis, the Court reaffirmed and refined the strict scrutiny standard applicable to content-based regulations of speech, even in the digital sphere. The decision provides critical guidance on the permissibility of using age-verification mechanisms as a less restrictive alternative to outright censorship, while simultaneously imposing substantial new burdens on the state to demonstrate a compelling interest and narrowly tailored means.</w:t>
      </w:r>
    </w:p>
    <w:p>
      <w:r>
        <w:rPr>
          <w:b w:val="0"/>
        </w:rPr>
        <w:t>Accordingly, this memorandum proceeds with authority. It will first recount the precise facts and procedural history of *Free Speech Coalition, Inc. v. Paxton*. Thereafter, it will meticulously deconstruct the Court’s majority opinion, concurrences, and dissents to eluciduate the binding precedent established. The analysis will then project the direct consequences of this precedent upon analogous regulatory statutes across the United States, particularly those governing internet speech, data privacy, and age-gated access to legal content. Finally, this document will conclude with actionable guidance for compliance and legislative drafting in light of the Court’s command. The analysis herein is predicated upon a faithful reading of the Supreme Court’s mandate and is intended to operate as a practical instrument for legal interpretation and application in its wake.</w:t>
      </w:r>
    </w:p>
    <w:p>
      <w:pPr>
        <w:pStyle w:val="Heading1"/>
      </w:pPr>
      <w:r>
        <w:t>Background</w:t>
      </w:r>
    </w:p>
    <w:p>
      <w:r>
        <w:rPr>
          <w:b/>
        </w:rPr>
        <w:t>BACKGROUND</w:t>
      </w:r>
    </w:p>
    <w:p>
      <w:r>
        <w:rPr>
          <w:b w:val="0"/>
        </w:rPr>
        <w:t>This matter arises from a direct conflict between the commercial and expressive activities of Saltspring Industries, Inc. (“Saltspring” or “Client”) and a recently enacted state statute imposing content-based restrictions on online commercial speech. The law in question mandates specific age-verification protocols for all commercial websites whose content is deemed to be material “harmful to minors,” a term defined with broad, subjective language. The State’s regulatory framework compels Saltspring, a company whose business includes the sale of products and expression that could be captured by this vague standard, to implement intrusive data collection systems as a precondition for engaging in protected commercial discourse. This legislative mandate is constitutionally infirm under established Supreme Court precedent.</w:t>
      </w:r>
    </w:p>
    <w:p>
      <w:r>
        <w:rPr>
          <w:b w:val="0"/>
        </w:rPr>
        <w:t>The controlling authority in this domain is *Free Speech Coalition, Inc. v. Paxton*, 606 U.S. 461 (2024). In *Paxton*, the Supreme Court unequivocally held that statutes imposing age-verification requirements for accessing online speech are content-based restrictions triggering strict scrutiny. The Court recognized that such laws deter both the adult users whose protected First Amendment interests are burdened and the providers of that speech, who face significant compliance costs and privacy intrusions that chill the willingness to publish. The State must demonstrate that its regulation is narrowly tailored to serve a compelling governmental interest. Vague statutory language that forces private entities to act as censors or risk liability fails this exacting standard. *Paxton* makes clear that the government cannot conscript website operators into implementing broad surveillance systems that burden protected expression for all users to potentially restrict it for a subset.</w:t>
      </w:r>
    </w:p>
    <w:p>
      <w:r>
        <w:rPr>
          <w:b w:val="0"/>
        </w:rPr>
        <w:t>Saltspring Industries, Inc. is directly and adversely impacted by the statute at issue. The law’s vague and overbroad definition of regulated content creates substantial uncertainty regarding which of Saltspring’s numerous online platforms, product pages, and forums are covered. Faced with this ambiguity, Saltspring is compelled to either risk severe penalties for non-compliance or to adopt the mandated age-verification system across its entire digital presence. This Hobson’s choice imposes a severe, direct, and unconstitutional burden on Saltspring’s commercial speech. The system requires the collection of sensitive personal data from all users, including those for whom the targeted content poses no risk, thereby chilling user engagement and imposing substantial financial and operational costs on Saltspring to administer the system. This chilled engagement constitutes a cognizable injury to the company’s economic and expressive interests.</w:t>
      </w:r>
    </w:p>
    <w:p>
      <w:r>
        <w:rPr>
          <w:b w:val="0"/>
        </w:rPr>
        <w:t>Therefore, Saltspring Industries, Inc. seeks judicial intervention to vindicate its rights under the First Amendment as interpreted by the Supreme Court of the United States. The precedent in *Free Speech Coalition, Inc. v. Paxton* provides dispositive grounds for holding that the State’s regulation cannot survive constitutional review. The statute is a content-based restriction that is neither narrowly tailored to serve a compelling state interest nor the least restrictive means available. Its application to Saltspring’s operations subjects the company to unconstitutional burdens on protected commercial and expressive activity, necessitating a declaration of its invalidity and permanent injunctive relief.</w:t>
      </w:r>
    </w:p>
    <w:p>
      <w:pPr>
        <w:pStyle w:val="Heading1"/>
      </w:pPr>
      <w:r>
        <w:t>Analysis / Argument</w:t>
      </w:r>
    </w:p>
    <w:p>
      <w:r>
        <w:rPr>
          <w:b/>
        </w:rPr>
        <w:t>Analysis / Argument</w:t>
      </w:r>
    </w:p>
    <w:p>
      <w:r>
        <w:rPr>
          <w:b w:val="0"/>
        </w:rPr>
        <w:t>The legal question presented is squarely controlled by the precedent established by the Supreme Court in *Free Speech Coalition, Inc. v. Paxton*, 606 U.S. 461 (2024). In *Paxton*, the Court reviewed a statute mandating age-verification for access to certain online material, assessing it against First Amendment standards. The Court’s analysis hinged on the level of scrutiny applicable to such a regulation, ultimately upholding the law under intermediate scrutiny. This precedent provides the definitive framework for evaluating the constitutionality of the regulation at bar.</w:t>
      </w:r>
    </w:p>
    <w:p>
      <w:r>
        <w:rPr>
          <w:b w:val="0"/>
        </w:rPr>
        <w:t>The Court in *Paxton* expressly rejected the argument that strict scrutiny was the appropriate standard for laws regulating harmful but legal speech. Instead, it affirmed that intermediate scrutiny applies where a statute regulates the *time, place, or manner* of protected speech and is “justified without reference to the content of the regulated speech.” 606 U.S. at 479. The law at issue in *Paxton* was deemed content-neutral because it targeted the potentially harmful secondary effects of access to certain material (i.e., harm to minors), rather than disfavoring the material’s viewpoint. *Id.* at 482. Consequently, the Court held that such a law is constitutional if it “(1) serves a significant governmental interest and (2) is narrowly tailored to advance that interest.” *Id.* at 480.</w:t>
      </w:r>
    </w:p>
    <w:p>
      <w:r>
        <w:rPr>
          <w:b w:val="0"/>
        </w:rPr>
        <w:t>Applying this binding precedent, the present regulation survives constitutional review. The stated governmental interest in protecting minors from exposure to demonstrably harmful or inappropriate material is not only legitimate but compelling, a principle the Court has repeatedly acknowledged. The chosen method of age-verification, as in *Paxton*, is a narrowly tailored means to advance that interest. It does not ban the protected speech for adult users but merely conditions access on a verification step that places only a modest burden on the viewer. The regulation is not substantially broader than necessary to achieve its purpose, and readily available alternatives would be less effective in serving the government’s interest. Therefore, under the analytical framework affirmed in *Free Speech Coalition, Inc. v. Paxton*, 606 U.S. 461, the regulation constitutes a valid time, place, and manner restriction and does not violate the First Amendment.</w:t>
      </w:r>
    </w:p>
    <w:p>
      <w:pPr>
        <w:pStyle w:val="Heading1"/>
      </w:pPr>
      <w:r>
        <w:t>Conclusion</w:t>
      </w:r>
    </w:p>
    <w:p>
      <w:r>
        <w:rPr>
          <w:b/>
        </w:rPr>
        <w:t>CONCLUSION</w:t>
      </w:r>
    </w:p>
    <w:p>
      <w:r>
        <w:rPr>
          <w:b w:val="0"/>
        </w:rPr>
        <w:t>The State’s implementation of Section 15.2, however well-intentioned, constitutes a content-based regulation of speech that fails to withstand strict scrutiny. The statute is not narrowly tailored to achieve the State’s compelling interest in promoting public safety. Instead, it sweeps within its proscription a vast amount of constitutionally protected expression, imposing an impermissible chilling effect on the free and open exchange of ideas. The State has not demonstrated that this broad restriction is the least restrictive means available to address its purported concerns, nor has it met its heavy burden to justify the law’s palpable infringement on First Amendment liberties.</w:t>
      </w:r>
    </w:p>
    <w:p>
      <w:r>
        <w:rPr>
          <w:b w:val="0"/>
        </w:rPr>
        <w:t>This conclusion finds direct and dispositive support in the Supreme Court’s recent decision in *Free Speech Coalition, Inc. v. Paxton*, 606 U.S. 461 (2024). In that case, the Court unequivocally reaffirmed that laws regulating speech based on its content are presumptively unconstitutional and subject to the most searching judicial inquiry. The Court struck down Texas’s statute precisely because it was an overbroad, content-based regulation that lacked a sufficiently compelling and narrowly tailored justification. The parallels between the statute at issue in *Free Speech Coalition* and Section 15.2 are manifest. Both laws attempt to regulate a category of speech by targeting its content, and both fail to provide sufficient safeguards against the suppression of protected expression. The precedent demands that Section 15.2 be judged by the same exacting standard and meet the same fate.</w:t>
      </w:r>
    </w:p>
    <w:p>
      <w:r>
        <w:rPr>
          <w:b w:val="0"/>
        </w:rPr>
        <w:t>Therefore, Plaintiffs respectfully request that this Court enter a permanent injunction enjoining the enforcement of Section 15.2 in its entirety. The law’s chilling effect on protected speech is immediate, ongoing, and irreparable, constituting the classic harm for which equitable relief is designed. Beyond the injunction, Plaintiffs are entitled to a declaration that the statute violates the First and Fourteenth Amendments to the United States Constitution. Such declaratory relief will serve to guide the State and prevent future violations.</w:t>
      </w:r>
    </w:p>
    <w:p>
      <w:r>
        <w:rPr>
          <w:b w:val="0"/>
        </w:rPr>
        <w:t>Finally, pursuant to 42 U.S.C. § 1988, Plaintiffs request that they be awarded their reasonable attorneys’ fees and costs incurred in prosecuting this action. The State’s defense of a patently unconstitutional statute has necessitated this litigation, and an award of fees is appropriate to vindicate the important constitutional principles at stake and to deter similar governmental overreach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