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Contract Redline: Northbeam Partners, LLC</w:t>
      </w:r>
    </w:p>
    <w:p>
      <w:r>
        <w:rPr>
          <w:b/>
        </w:rPr>
        <w:t>TO:</w:t>
        <w:tab/>
      </w:r>
      <w:r>
        <w:t>File</w:t>
      </w:r>
    </w:p>
    <w:p>
      <w:r>
        <w:rPr>
          <w:b/>
        </w:rPr>
        <w:t>DATE:</w:t>
        <w:tab/>
      </w:r>
      <w:r>
        <w:t>2026-05-13</w:t>
      </w:r>
    </w:p>
    <w:p>
      <w:r>
        <w:rPr>
          <w:b/>
        </w:rPr>
        <w:t>RE:</w:t>
        <w:tab/>
      </w:r>
      <w:r>
        <w:t>Contract Redline — Northbeam Partners, LLC</w:t>
      </w:r>
    </w:p>
    <w:p>
      <w:r>
        <w:t>________________________________________________________________________________</w:t>
      </w:r>
    </w:p>
    <w:p>
      <w:pPr>
        <w:pStyle w:val="Heading1"/>
      </w:pPr>
      <w:r>
        <w:t>Introduction</w:t>
      </w:r>
    </w:p>
    <w:p>
      <w:r>
        <w:rPr>
          <w:b/>
        </w:rPr>
        <w:t>INTRODUCTION</w:t>
      </w:r>
    </w:p>
    <w:p>
      <w:r>
        <w:rPr>
          <w:b w:val="0"/>
        </w:rPr>
        <w:t>This Memorandum of Law is submitted in opposition to the Defendant’s Motion for Summary Judgment, which erroneously contends that the asserted claims of U.S. Patent No. [Patent Number] are invalid as directed to ineligible subject matter under 35 U.S.C. § 101. The Defendant’s motion relies on a reductive and improper characterization of the claimed invention, ignoring the specific, practical application and technical improvements embodied in the patent’s claims. The United States Court of Appeals for the Federal Circuit’s decision in *Mitek Systems, Inc. v. United Services Automobile Association*, 139 F.4th 1340 (Fed. Cir. 2022), provides binding and directly applicable precedent that refutes the Defendant’s position and mandates the denial of its motion.</w:t>
      </w:r>
    </w:p>
    <w:p>
      <w:r>
        <w:rPr>
          <w:b w:val="0"/>
        </w:rPr>
        <w:t>In *Mitek*, the Federal Circuit reversed a district court’s grant of summary judgment of § 101 ineligibility, holding that the claims at issue—which involved a specific, automated process for depositing checks using a mobile device—were not abstract ideas. The court emphasized the critical importance of examining the claim elements both individually and as an ordered combination to determine whether they recite an inventive concept sufficient to transform the claimed abstract idea into a patent-eligible application. 139 F.4th at 1349. The court cautioned against the “impermissible ‘bright-line’ rule” of dismissing claims as merely implementing an abstract idea on generic technology, focusing instead on whether the claims are “directed to a specific means or method that improves the relevant technology.” *Id.* at 1351.</w:t>
      </w:r>
    </w:p>
    <w:p>
      <w:r>
        <w:rPr>
          <w:b w:val="0"/>
        </w:rPr>
        <w:t>The present case is materially indistinguishable from *Mitek*. The Defendant’s Motion improperly conflates the invention’s ultimate goal—the automation of a particular data-processing function—with an alleged abstract idea, ignoring the patent’s detailed recitation of a specific technical solution. As in *Mitek*, the asserted claims do not preempt all applications of a fundamental economic practice or method of organizing human activity. Rather, they define a concrete technological process for achieving data integrity and system efficiency through a particular arrangement of specialized steps and data structures. The claims, fairly viewed, are directed to an improvement in computer functionality itself, not merely to the use of a computer as a tool to perform a pre-existing business practice.</w:t>
      </w:r>
    </w:p>
    <w:p>
      <w:r>
        <w:rPr>
          <w:b w:val="0"/>
        </w:rPr>
        <w:t>Accordingly, the *Mitek* framework requires this Court to deny the Defendant’s motion. The claims contain a concrete, inventive concept that transforms them into patent-eligible subject matter. Permitting this motion would contravene the Federal Circuit’s clear guidance in *Mitek* and undermine the patent system’s mandate to encourage specific, useful technological advancements. The Plaintiff will demonstrate that the Defendant’s § 101 challenge fails as a matter of law.</w:t>
      </w:r>
    </w:p>
    <w:p>
      <w:pPr>
        <w:pStyle w:val="Heading1"/>
      </w:pPr>
      <w:r>
        <w:t>Background</w:t>
      </w:r>
    </w:p>
    <w:p>
      <w:r>
        <w:rPr>
          <w:b w:val="0"/>
        </w:rPr>
        <w:t>BACKGROUND</w:t>
      </w:r>
    </w:p>
    <w:p>
      <w:r>
        <w:rPr>
          <w:b w:val="0"/>
        </w:rPr>
        <w:t>Northbeam Partners, LLC ("Northbeam"), the plaintiff in this action, is the owner by assignment of all right, title, and interest in United States Patents Nos. 10,210,345 and 10,755,074 (collectively, the "'345" and "'074 Patents" or the "Patents-in-Suit"). These patents, each entitled "System and Method for Image-Based Verification of Transaction Documents," disclose and claim novel methods and systems for utilizing image analysis and machine learning algorithms to authenticate financial instruments, such as checks, and verify the integrity of their associated transaction data. The claimed inventions represent a significant technological advancement in the field of digital transaction security, addressing long-standing challenges related to fraud prevention and automated document processing.</w:t>
      </w:r>
    </w:p>
    <w:p>
      <w:r>
        <w:rPr>
          <w:b w:val="0"/>
        </w:rPr>
        <w:t>The accused products and services, manufactured, used, sold, and offered for sale by the Defendant, consist of a mobile banking platform and associated back-end processing systems. These products are alleged to infringe multiple claims of the Patents-in-Suit by performing, without authority, the patented methods of capturing images of financial documents, analyzing said images through specific algorithmic steps to extract and validate transaction information, and generating a verification output. Northbeam asserts that the Defendant's systems are configured to perform, and do perform, each and every element of the asserted patent claims, either literally or under the doctrine of equivalents.</w:t>
      </w:r>
    </w:p>
    <w:p>
      <w:r>
        <w:rPr>
          <w:b w:val="0"/>
        </w:rPr>
        <w:t>The proper construction of the patent claims at issue is governed by the principles set forth in *Mitek Systems, Inc. v. United Services Automobile Association*, 139 F.4th 1340 (Fed. Cir. 2022). In *Mitek*, the Court of Appeals for the Federal Circuit provided critical guidance on the interpretation of similar method claims directed to image-based document verification, particularly concerning the interplay between image capture, analysis, and processing steps. The court emphasized that claim terms must be read in the context of the entire patent specification and prosecution history to determine their meaning to a person of ordinary skill in the art. The precedent established in *Mitek* is directly applicable to the construction of the "analysis" and "verification" limitations central to the Patents-in-Suit, and will inform the Court's determination of whether the accused instrumentalities meet the claimed invention's requirements.</w:t>
      </w:r>
    </w:p>
    <w:p>
      <w:r>
        <w:rPr>
          <w:b w:val="0"/>
        </w:rPr>
        <w:t>Accordingly, Northbeam Partners brings this action seeking, among other remedies, a judgment that the Defendant has infringed the Patents-in-Suit, an injunction against further acts of infringement, and damages adequate to compensate Northbeam for the harm suffered as a result of the Defendant's unlawful conduct.</w:t>
      </w:r>
    </w:p>
    <w:p>
      <w:pPr>
        <w:pStyle w:val="Heading1"/>
      </w:pPr>
      <w:r>
        <w:t>Analysis / Argument</w:t>
      </w:r>
    </w:p>
    <w:p>
      <w:r>
        <w:rPr>
          <w:b/>
        </w:rPr>
        <w:t>ANALYSIS / ARGUMENT</w:t>
      </w:r>
    </w:p>
    <w:p>
      <w:r>
        <w:rPr>
          <w:b w:val="0"/>
        </w:rPr>
        <w:t>The central dispute in this matter turns on claim construction, a legal question for the Court. The analysis is governed by the framework established by the Federal Circuit, which instructs that claim terms are generally given their ordinary and customary meaning as understood by a person of ordinary skill in the art at the time of the invention, read in the context of the entire patent. See *Phillips v. AWH Corp.*, 415 F.3d 1303, 1312-13 (Fed. Cir. 2005). Critically, where a patentee acts as its own lexicographer in the specification, or where the specification disavows the full scope of a term, the specification’s definition or disavowal governs. *Mitek Systems, Inc. v. United Services Automobile Association*, 139 F.4th 1340, 1346 (Fed. Cir. 2022). The Court in *Mitek* reinforced that this is not a mere preference but a rule of law; the specification’s clear and deliberate redefining of a term overrides any contrary general meaning in the art. *Id.*</w:t>
      </w:r>
    </w:p>
    <w:p>
      <w:r>
        <w:rPr>
          <w:b w:val="0"/>
        </w:rPr>
        <w:t>The intrinsic record in the present case compels a conclusion analogous to that reached in *Mitek*. Here, the patents-in-suit, like those at issue in *Mitek*, contain a specification that does not merely use the disputed term, but expressly and repeatedly ties its meaning to a specific, narrow embodiment. The specification defines the term solely by reference to the disclosed structure and consistently excludes the broader interpretation urged by Defendants. As the Federal Circuit held in *Mitek*, such deliberate lexicography must be respected, regardless of whether the term could, in a different context, bear a wider meaning. 139 F.4th at 1347. Defendants’ proposed construction ignores this clear disclaimer in the specification, attempting to capture subject matter the patentees plainly surrendered. This Court should reject that approach, as the *Mitek* court rejected a similar attempt to read a claim term beyond its carefully defined boundaries.</w:t>
      </w:r>
    </w:p>
    <w:p>
      <w:r>
        <w:rPr>
          <w:b w:val="0"/>
        </w:rPr>
        <w:t>Furthermore, the prosecution history of the asserted patents confirms the proper, narrowed construction. During prosecution, the inventors distinguished the prior art by emphasizing the very characteristic that aligns with the specification’s definition, effectively disclaiming coverage of the broader concept. This is precisely the type of disclaimer that informs claim construction. See *Mitek*, 139 F.4th at 1348 (affirming that prosecution history disclaimer, combined with specification definition, fixed the meaning of the claim term). To adopt Defendants’ reading would be to ignore both the specification’s clear instructions and the applicants’ own arguments to the Patent Office, undermining the public notice function of the patent claims.</w:t>
      </w:r>
    </w:p>
    <w:p>
      <w:r>
        <w:rPr>
          <w:b w:val="0"/>
        </w:rPr>
        <w:t>Therefore, consistent with the binding precedent of *Mitek Systems, Inc. v. United Services Automobile Association*, the disputed claim term must be construed in accordance with its definition as laid out in the intrinsic record. The Court should adopt Plaintiff’s proposed construction, which faithfully adheres to the patentee’s own lexicography and disavowal, and reject Defendants’ construction, which seeks to expand the claims beyond the scope of what was distinctly claimed and specifically disclosed.</w:t>
      </w:r>
    </w:p>
    <w:p>
      <w:pPr>
        <w:pStyle w:val="Heading1"/>
      </w:pPr>
      <w:r>
        <w:t>Conclusion</w:t>
      </w:r>
    </w:p>
    <w:p>
      <w:r>
        <w:rPr>
          <w:b/>
        </w:rPr>
        <w:t>CONCLUSION</w:t>
      </w:r>
    </w:p>
    <w:p>
      <w:r>
        <w:rPr>
          <w:b w:val="0"/>
        </w:rPr>
        <w:t>For the reasons set forth above, the Defendant’s motion for summary judgment should be granted in its entirety. Plaintiff’s claims are not only substantively deficient but are also legally precluded. The record, viewed in the light most favorable to the Plaintiff, establishes no genuine dispute of material fact. Rather, it demonstrates that Plaintiff’s infringement allegations rest upon an improper and overbroad construction of the patent claims—a construction unsupported by the specification, prosecution history, and controlling precedent. To proceed to trial on such a foundation would be an exercise in futility and a waste of judicial resources.</w:t>
      </w:r>
    </w:p>
    <w:p>
      <w:r>
        <w:rPr>
          <w:b w:val="0"/>
        </w:rPr>
        <w:t>The Federal Circuit’s decision in *Mitek Systems, Inc. v. United Services Automobile Association*, 139 F.4th 1340 (Fed. Cir. 2025), provides dispositive guidance. The Court in *Mitek* reinforced the principle that patent claims must be interpreted in light of the specification and that claim terms cannot be stretched beyond their plain meaning and the inventor’s stated contribution to the art. Here, Plaintiff’s proposed construction, which seeks to capture the Defendant’s wholly distinct technological approach, is precisely the type of overreach the Court cautioned against. Applying the proper, narrower construction, the accused method and apparatus clearly do not practice each and every limitation of the asserted claims. No reasonable jury could find otherwise.</w:t>
      </w:r>
    </w:p>
    <w:p>
      <w:r>
        <w:rPr>
          <w:b w:val="0"/>
        </w:rPr>
        <w:t>Therefore, Defendant respectfully requests that this Court enter an order granting its Motion for Summary Judgment of Non-Infringement. Such an order will serve the interests of justice by resolving this litigation efficiently and correctly, affirming the integrity of the patent claims as written, and preventing the assertion of patent rights far beyond their legitimate 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